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BBA64" w14:textId="41E0E5FA" w:rsidR="001B2F9E" w:rsidRPr="00576973" w:rsidRDefault="001B2F9E" w:rsidP="002F718F">
      <w:pPr>
        <w:pStyle w:val="EHRBodytext"/>
        <w:ind w:left="595" w:firstLine="0"/>
        <w:jc w:val="center"/>
        <w:rPr>
          <w:sz w:val="48"/>
        </w:rPr>
      </w:pPr>
    </w:p>
    <w:p w14:paraId="688E8ECD" w14:textId="03117547" w:rsidR="001B2F9E" w:rsidRPr="00576973" w:rsidRDefault="00F55527" w:rsidP="00F55527">
      <w:pPr>
        <w:pStyle w:val="EHRnon-numberedBODY"/>
        <w:jc w:val="center"/>
      </w:pPr>
      <w:r w:rsidRPr="00D34B90">
        <w:rPr>
          <w:b/>
          <w:noProof/>
          <w:sz w:val="36"/>
          <w:szCs w:val="36"/>
          <w:lang w:eastAsia="en-GB"/>
        </w:rPr>
        <w:drawing>
          <wp:inline distT="0" distB="0" distL="0" distR="0" wp14:anchorId="4FCCCC81" wp14:editId="49BD8C87">
            <wp:extent cx="1170305" cy="926465"/>
            <wp:effectExtent l="0" t="0" r="0" b="6985"/>
            <wp:docPr id="1" name="Picture 2" descr="Mid Devon District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Mid Devon District Council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70305" cy="926465"/>
                    </a:xfrm>
                    <a:prstGeom prst="rect">
                      <a:avLst/>
                    </a:prstGeom>
                    <a:noFill/>
                  </pic:spPr>
                </pic:pic>
              </a:graphicData>
            </a:graphic>
          </wp:inline>
        </w:drawing>
      </w:r>
    </w:p>
    <w:p w14:paraId="40092AB6" w14:textId="77777777" w:rsidR="00A96F97" w:rsidRPr="00576973" w:rsidRDefault="00A96F97" w:rsidP="002F718F">
      <w:pPr>
        <w:pStyle w:val="EHRnon-numberedBODY"/>
      </w:pPr>
    </w:p>
    <w:p w14:paraId="7D0E4CBD" w14:textId="77777777" w:rsidR="00F44DB3" w:rsidRPr="00576973" w:rsidRDefault="00F44DB3" w:rsidP="002F718F">
      <w:pPr>
        <w:pStyle w:val="EHRnon-numberedBODY"/>
      </w:pPr>
    </w:p>
    <w:p w14:paraId="3E83DF72" w14:textId="77777777" w:rsidR="00E47212" w:rsidRPr="00576973" w:rsidRDefault="00E47212" w:rsidP="00302A19">
      <w:pPr>
        <w:pStyle w:val="EHRnon-numberedBODY"/>
        <w:jc w:val="center"/>
        <w:rPr>
          <w:b/>
          <w:sz w:val="48"/>
          <w:szCs w:val="48"/>
        </w:rPr>
      </w:pPr>
    </w:p>
    <w:p w14:paraId="3AB85299" w14:textId="016FEF26" w:rsidR="001D23B7" w:rsidRDefault="00115091" w:rsidP="00115091">
      <w:pPr>
        <w:pStyle w:val="EHRnon-numberedBODY"/>
        <w:jc w:val="center"/>
        <w:rPr>
          <w:b/>
          <w:sz w:val="48"/>
          <w:szCs w:val="48"/>
        </w:rPr>
      </w:pPr>
      <w:r w:rsidRPr="00115091">
        <w:rPr>
          <w:b/>
          <w:sz w:val="48"/>
          <w:szCs w:val="48"/>
        </w:rPr>
        <w:t xml:space="preserve">POLICY ON PRIVATE SECTOR HOUSING FEES, CHARGES AND THE USE OF FINANCIAL PENALTIES FOR HOUSING ACT OFFENCES INCLUDING THE RENTERS’ RIGHTS ACT </w:t>
      </w:r>
    </w:p>
    <w:p w14:paraId="5DABD804" w14:textId="327B0220" w:rsidR="00262591" w:rsidRPr="00576973" w:rsidRDefault="00262591" w:rsidP="00115091">
      <w:pPr>
        <w:pStyle w:val="EHRnon-numberedBODY"/>
        <w:jc w:val="center"/>
        <w:rPr>
          <w:b/>
          <w:bCs/>
          <w:sz w:val="48"/>
          <w:szCs w:val="48"/>
        </w:rPr>
      </w:pPr>
      <w:r>
        <w:rPr>
          <w:b/>
          <w:sz w:val="48"/>
          <w:szCs w:val="48"/>
        </w:rPr>
        <w:t>2026-2029</w:t>
      </w:r>
    </w:p>
    <w:p w14:paraId="4C458030" w14:textId="77777777" w:rsidR="001B2F9E" w:rsidRPr="00576973" w:rsidRDefault="001B2F9E" w:rsidP="002F718F">
      <w:pPr>
        <w:pStyle w:val="EHRnon-numberedBODY"/>
      </w:pPr>
    </w:p>
    <w:p w14:paraId="28A2D829" w14:textId="77777777" w:rsidR="00F44DB3" w:rsidRPr="00576973" w:rsidRDefault="00F44DB3" w:rsidP="002F718F">
      <w:pPr>
        <w:pStyle w:val="EHRnon-numberedBODY"/>
      </w:pPr>
    </w:p>
    <w:p w14:paraId="1D2153D2" w14:textId="77777777" w:rsidR="000F2C26" w:rsidRPr="00576973" w:rsidRDefault="000F2C26" w:rsidP="002F718F">
      <w:pPr>
        <w:pStyle w:val="EHRnon-numberedBODY"/>
      </w:pPr>
    </w:p>
    <w:p w14:paraId="22996413" w14:textId="77777777" w:rsidR="000F2C26" w:rsidRPr="00576973" w:rsidRDefault="000F2C26" w:rsidP="002F718F">
      <w:pPr>
        <w:pStyle w:val="EHRnon-numberedBODY"/>
      </w:pPr>
    </w:p>
    <w:p w14:paraId="71A0FCFF" w14:textId="77777777" w:rsidR="000F2C26" w:rsidRPr="00576973" w:rsidRDefault="000F2C26" w:rsidP="002F718F">
      <w:pPr>
        <w:pStyle w:val="EHRnon-numberedBODY"/>
      </w:pPr>
    </w:p>
    <w:p w14:paraId="0A4B6D25" w14:textId="77777777" w:rsidR="00F44DB3" w:rsidRPr="00576973" w:rsidRDefault="00F44DB3" w:rsidP="002F718F">
      <w:pPr>
        <w:pStyle w:val="EHRnon-numberedBODY"/>
      </w:pPr>
    </w:p>
    <w:p w14:paraId="0AA6EC87" w14:textId="77777777" w:rsidR="00F44DB3" w:rsidRPr="00576973" w:rsidRDefault="00F44DB3" w:rsidP="002F718F">
      <w:pPr>
        <w:pStyle w:val="EHRnon-numberedBODY"/>
      </w:pPr>
    </w:p>
    <w:p w14:paraId="4816C982" w14:textId="0B82F7B1" w:rsidR="00847DDA" w:rsidRPr="00576973" w:rsidRDefault="00B42614" w:rsidP="002F718F">
      <w:pPr>
        <w:pStyle w:val="EHRnon-numberedBODY"/>
      </w:pPr>
      <w:r w:rsidRPr="00576973">
        <w:t>Date</w:t>
      </w:r>
      <w:r w:rsidR="00F55527" w:rsidRPr="00576973">
        <w:t xml:space="preserve"> adopted</w:t>
      </w:r>
      <w:r w:rsidRPr="00576973">
        <w:t xml:space="preserve">: </w:t>
      </w:r>
      <w:r w:rsidRPr="00576973">
        <w:tab/>
      </w:r>
      <w:r w:rsidR="00DA1467">
        <w:t>16</w:t>
      </w:r>
      <w:r w:rsidR="00507AA3">
        <w:t xml:space="preserve"> June 2026</w:t>
      </w:r>
    </w:p>
    <w:p w14:paraId="0C448CFE" w14:textId="77777777" w:rsidR="00847DDA" w:rsidRPr="00576973" w:rsidRDefault="00770975" w:rsidP="00296E3A">
      <w:pPr>
        <w:pStyle w:val="EHRnon-numberedBODY"/>
        <w:spacing w:before="360" w:after="360"/>
        <w:rPr>
          <w:b/>
          <w:sz w:val="40"/>
          <w:szCs w:val="40"/>
        </w:rPr>
      </w:pPr>
      <w:r w:rsidRPr="00576973">
        <w:br w:type="page"/>
      </w:r>
      <w:r w:rsidR="00847DDA" w:rsidRPr="00576973">
        <w:rPr>
          <w:b/>
          <w:color w:val="2E74B5" w:themeColor="accent1" w:themeShade="BF"/>
          <w:sz w:val="40"/>
          <w:szCs w:val="40"/>
        </w:rPr>
        <w:lastRenderedPageBreak/>
        <w:t>Contents</w:t>
      </w:r>
    </w:p>
    <w:p w14:paraId="0F4AC567" w14:textId="14977106" w:rsidR="00D44372" w:rsidRDefault="00621DAA">
      <w:pPr>
        <w:pStyle w:val="TOC1"/>
        <w:tabs>
          <w:tab w:val="right" w:leader="dot" w:pos="9629"/>
        </w:tabs>
        <w:rPr>
          <w:rFonts w:asciiTheme="minorHAnsi" w:eastAsiaTheme="minorEastAsia" w:hAnsiTheme="minorHAnsi" w:cstheme="minorBidi"/>
          <w:b w:val="0"/>
          <w:noProof/>
          <w:kern w:val="2"/>
          <w:lang w:eastAsia="en-GB"/>
          <w14:ligatures w14:val="standardContextual"/>
        </w:rPr>
      </w:pPr>
      <w:r w:rsidRPr="00576973">
        <w:fldChar w:fldCharType="begin"/>
      </w:r>
      <w:r w:rsidRPr="00576973">
        <w:instrText xml:space="preserve"> TOC \h \z \t "EHR Major heading,1,EHR - Sub-heading1,2,EHR Sub-heading2,3,EHR Figure,4" </w:instrText>
      </w:r>
      <w:r w:rsidRPr="00576973">
        <w:fldChar w:fldCharType="separate"/>
      </w:r>
      <w:hyperlink w:anchor="_Toc228375933" w:history="1">
        <w:r w:rsidR="00D44372" w:rsidRPr="00E13F53">
          <w:rPr>
            <w:rStyle w:val="Hyperlink"/>
            <w:noProof/>
          </w:rPr>
          <w:t>1</w:t>
        </w:r>
        <w:r w:rsidR="00D44372">
          <w:rPr>
            <w:rFonts w:asciiTheme="minorHAnsi" w:eastAsiaTheme="minorEastAsia" w:hAnsiTheme="minorHAnsi" w:cstheme="minorBidi"/>
            <w:b w:val="0"/>
            <w:noProof/>
            <w:kern w:val="2"/>
            <w:lang w:eastAsia="en-GB"/>
            <w14:ligatures w14:val="standardContextual"/>
          </w:rPr>
          <w:tab/>
        </w:r>
        <w:r w:rsidR="00D44372" w:rsidRPr="00E13F53">
          <w:rPr>
            <w:rStyle w:val="Hyperlink"/>
            <w:noProof/>
          </w:rPr>
          <w:t>Introduction</w:t>
        </w:r>
        <w:r w:rsidR="00D44372">
          <w:rPr>
            <w:noProof/>
            <w:webHidden/>
          </w:rPr>
          <w:tab/>
        </w:r>
        <w:r w:rsidR="00D44372">
          <w:rPr>
            <w:noProof/>
            <w:webHidden/>
          </w:rPr>
          <w:fldChar w:fldCharType="begin"/>
        </w:r>
        <w:r w:rsidR="00D44372">
          <w:rPr>
            <w:noProof/>
            <w:webHidden/>
          </w:rPr>
          <w:instrText xml:space="preserve"> PAGEREF _Toc228375933 \h </w:instrText>
        </w:r>
        <w:r w:rsidR="00D44372">
          <w:rPr>
            <w:noProof/>
            <w:webHidden/>
          </w:rPr>
        </w:r>
        <w:r w:rsidR="00D44372">
          <w:rPr>
            <w:noProof/>
            <w:webHidden/>
          </w:rPr>
          <w:fldChar w:fldCharType="separate"/>
        </w:r>
        <w:r w:rsidR="00D44372">
          <w:rPr>
            <w:noProof/>
            <w:webHidden/>
          </w:rPr>
          <w:t>5</w:t>
        </w:r>
        <w:r w:rsidR="00D44372">
          <w:rPr>
            <w:noProof/>
            <w:webHidden/>
          </w:rPr>
          <w:fldChar w:fldCharType="end"/>
        </w:r>
      </w:hyperlink>
    </w:p>
    <w:p w14:paraId="4283AA3A" w14:textId="3D9CBBA2" w:rsidR="00D44372" w:rsidRDefault="00D44372">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8375934" w:history="1">
        <w:r w:rsidRPr="00E13F53">
          <w:rPr>
            <w:rStyle w:val="Hyperlink"/>
            <w:noProof/>
          </w:rPr>
          <w:t>1.1</w:t>
        </w:r>
        <w:r>
          <w:rPr>
            <w:rFonts w:asciiTheme="minorHAnsi" w:eastAsiaTheme="minorEastAsia" w:hAnsiTheme="minorHAnsi" w:cstheme="minorBidi"/>
            <w:noProof/>
            <w:kern w:val="2"/>
            <w:lang w:eastAsia="en-GB"/>
            <w14:ligatures w14:val="standardContextual"/>
          </w:rPr>
          <w:tab/>
        </w:r>
        <w:r w:rsidRPr="00E13F53">
          <w:rPr>
            <w:rStyle w:val="Hyperlink"/>
            <w:noProof/>
          </w:rPr>
          <w:t>Purpose</w:t>
        </w:r>
        <w:r>
          <w:rPr>
            <w:noProof/>
            <w:webHidden/>
          </w:rPr>
          <w:tab/>
        </w:r>
        <w:r>
          <w:rPr>
            <w:noProof/>
            <w:webHidden/>
          </w:rPr>
          <w:fldChar w:fldCharType="begin"/>
        </w:r>
        <w:r>
          <w:rPr>
            <w:noProof/>
            <w:webHidden/>
          </w:rPr>
          <w:instrText xml:space="preserve"> PAGEREF _Toc228375934 \h </w:instrText>
        </w:r>
        <w:r>
          <w:rPr>
            <w:noProof/>
            <w:webHidden/>
          </w:rPr>
        </w:r>
        <w:r>
          <w:rPr>
            <w:noProof/>
            <w:webHidden/>
          </w:rPr>
          <w:fldChar w:fldCharType="separate"/>
        </w:r>
        <w:r>
          <w:rPr>
            <w:noProof/>
            <w:webHidden/>
          </w:rPr>
          <w:t>5</w:t>
        </w:r>
        <w:r>
          <w:rPr>
            <w:noProof/>
            <w:webHidden/>
          </w:rPr>
          <w:fldChar w:fldCharType="end"/>
        </w:r>
      </w:hyperlink>
    </w:p>
    <w:p w14:paraId="50265A8C" w14:textId="146817A6" w:rsidR="00D44372" w:rsidRDefault="00D44372">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8375935" w:history="1">
        <w:r w:rsidRPr="00E13F53">
          <w:rPr>
            <w:rStyle w:val="Hyperlink"/>
            <w:noProof/>
            <w:lang w:eastAsia="en-GB"/>
          </w:rPr>
          <w:t>1.2</w:t>
        </w:r>
        <w:r>
          <w:rPr>
            <w:rFonts w:asciiTheme="minorHAnsi" w:eastAsiaTheme="minorEastAsia" w:hAnsiTheme="minorHAnsi" w:cstheme="minorBidi"/>
            <w:noProof/>
            <w:kern w:val="2"/>
            <w:lang w:eastAsia="en-GB"/>
            <w14:ligatures w14:val="standardContextual"/>
          </w:rPr>
          <w:tab/>
        </w:r>
        <w:r w:rsidRPr="00E13F53">
          <w:rPr>
            <w:rStyle w:val="Hyperlink"/>
            <w:noProof/>
            <w:lang w:eastAsia="en-GB"/>
          </w:rPr>
          <w:t>Review</w:t>
        </w:r>
        <w:r>
          <w:rPr>
            <w:noProof/>
            <w:webHidden/>
          </w:rPr>
          <w:tab/>
        </w:r>
        <w:r>
          <w:rPr>
            <w:noProof/>
            <w:webHidden/>
          </w:rPr>
          <w:fldChar w:fldCharType="begin"/>
        </w:r>
        <w:r>
          <w:rPr>
            <w:noProof/>
            <w:webHidden/>
          </w:rPr>
          <w:instrText xml:space="preserve"> PAGEREF _Toc228375935 \h </w:instrText>
        </w:r>
        <w:r>
          <w:rPr>
            <w:noProof/>
            <w:webHidden/>
          </w:rPr>
        </w:r>
        <w:r>
          <w:rPr>
            <w:noProof/>
            <w:webHidden/>
          </w:rPr>
          <w:fldChar w:fldCharType="separate"/>
        </w:r>
        <w:r>
          <w:rPr>
            <w:noProof/>
            <w:webHidden/>
          </w:rPr>
          <w:t>5</w:t>
        </w:r>
        <w:r>
          <w:rPr>
            <w:noProof/>
            <w:webHidden/>
          </w:rPr>
          <w:fldChar w:fldCharType="end"/>
        </w:r>
      </w:hyperlink>
    </w:p>
    <w:p w14:paraId="6A6C80C7" w14:textId="164F1E30" w:rsidR="00D44372" w:rsidRDefault="00D44372">
      <w:pPr>
        <w:pStyle w:val="TOC1"/>
        <w:tabs>
          <w:tab w:val="right" w:leader="dot" w:pos="9629"/>
        </w:tabs>
        <w:rPr>
          <w:rFonts w:asciiTheme="minorHAnsi" w:eastAsiaTheme="minorEastAsia" w:hAnsiTheme="minorHAnsi" w:cstheme="minorBidi"/>
          <w:b w:val="0"/>
          <w:noProof/>
          <w:kern w:val="2"/>
          <w:lang w:eastAsia="en-GB"/>
          <w14:ligatures w14:val="standardContextual"/>
        </w:rPr>
      </w:pPr>
      <w:hyperlink w:anchor="_Toc228375936" w:history="1">
        <w:r w:rsidRPr="00E13F53">
          <w:rPr>
            <w:rStyle w:val="Hyperlink"/>
            <w:noProof/>
          </w:rPr>
          <w:t>2</w:t>
        </w:r>
        <w:r>
          <w:rPr>
            <w:rFonts w:asciiTheme="minorHAnsi" w:eastAsiaTheme="minorEastAsia" w:hAnsiTheme="minorHAnsi" w:cstheme="minorBidi"/>
            <w:b w:val="0"/>
            <w:noProof/>
            <w:kern w:val="2"/>
            <w:lang w:eastAsia="en-GB"/>
            <w14:ligatures w14:val="standardContextual"/>
          </w:rPr>
          <w:tab/>
        </w:r>
        <w:r w:rsidRPr="00E13F53">
          <w:rPr>
            <w:rStyle w:val="Hyperlink"/>
            <w:noProof/>
          </w:rPr>
          <w:t>Fees and Charges</w:t>
        </w:r>
        <w:r>
          <w:rPr>
            <w:noProof/>
            <w:webHidden/>
          </w:rPr>
          <w:tab/>
        </w:r>
        <w:r>
          <w:rPr>
            <w:noProof/>
            <w:webHidden/>
          </w:rPr>
          <w:fldChar w:fldCharType="begin"/>
        </w:r>
        <w:r>
          <w:rPr>
            <w:noProof/>
            <w:webHidden/>
          </w:rPr>
          <w:instrText xml:space="preserve"> PAGEREF _Toc228375936 \h </w:instrText>
        </w:r>
        <w:r>
          <w:rPr>
            <w:noProof/>
            <w:webHidden/>
          </w:rPr>
        </w:r>
        <w:r>
          <w:rPr>
            <w:noProof/>
            <w:webHidden/>
          </w:rPr>
          <w:fldChar w:fldCharType="separate"/>
        </w:r>
        <w:r>
          <w:rPr>
            <w:noProof/>
            <w:webHidden/>
          </w:rPr>
          <w:t>5</w:t>
        </w:r>
        <w:r>
          <w:rPr>
            <w:noProof/>
            <w:webHidden/>
          </w:rPr>
          <w:fldChar w:fldCharType="end"/>
        </w:r>
      </w:hyperlink>
    </w:p>
    <w:p w14:paraId="5F953CEA" w14:textId="38299AC7" w:rsidR="00D44372" w:rsidRDefault="00D44372">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8375937" w:history="1">
        <w:r w:rsidRPr="00E13F53">
          <w:rPr>
            <w:rStyle w:val="Hyperlink"/>
            <w:noProof/>
          </w:rPr>
          <w:t>2.1</w:t>
        </w:r>
        <w:r>
          <w:rPr>
            <w:rFonts w:asciiTheme="minorHAnsi" w:eastAsiaTheme="minorEastAsia" w:hAnsiTheme="minorHAnsi" w:cstheme="minorBidi"/>
            <w:noProof/>
            <w:kern w:val="2"/>
            <w:lang w:eastAsia="en-GB"/>
            <w14:ligatures w14:val="standardContextual"/>
          </w:rPr>
          <w:tab/>
        </w:r>
        <w:r w:rsidRPr="00E13F53">
          <w:rPr>
            <w:rStyle w:val="Hyperlink"/>
            <w:noProof/>
          </w:rPr>
          <w:t>HMO Licensing</w:t>
        </w:r>
        <w:r>
          <w:rPr>
            <w:noProof/>
            <w:webHidden/>
          </w:rPr>
          <w:tab/>
        </w:r>
        <w:r>
          <w:rPr>
            <w:noProof/>
            <w:webHidden/>
          </w:rPr>
          <w:fldChar w:fldCharType="begin"/>
        </w:r>
        <w:r>
          <w:rPr>
            <w:noProof/>
            <w:webHidden/>
          </w:rPr>
          <w:instrText xml:space="preserve"> PAGEREF _Toc228375937 \h </w:instrText>
        </w:r>
        <w:r>
          <w:rPr>
            <w:noProof/>
            <w:webHidden/>
          </w:rPr>
        </w:r>
        <w:r>
          <w:rPr>
            <w:noProof/>
            <w:webHidden/>
          </w:rPr>
          <w:fldChar w:fldCharType="separate"/>
        </w:r>
        <w:r>
          <w:rPr>
            <w:noProof/>
            <w:webHidden/>
          </w:rPr>
          <w:t>5</w:t>
        </w:r>
        <w:r>
          <w:rPr>
            <w:noProof/>
            <w:webHidden/>
          </w:rPr>
          <w:fldChar w:fldCharType="end"/>
        </w:r>
      </w:hyperlink>
    </w:p>
    <w:p w14:paraId="7B4EC90D" w14:textId="058A439D" w:rsidR="00D44372" w:rsidRDefault="00D44372">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8375938" w:history="1">
        <w:r w:rsidRPr="00E13F53">
          <w:rPr>
            <w:rStyle w:val="Hyperlink"/>
            <w:noProof/>
          </w:rPr>
          <w:t>2.2</w:t>
        </w:r>
        <w:r>
          <w:rPr>
            <w:rFonts w:asciiTheme="minorHAnsi" w:eastAsiaTheme="minorEastAsia" w:hAnsiTheme="minorHAnsi" w:cstheme="minorBidi"/>
            <w:noProof/>
            <w:kern w:val="2"/>
            <w:lang w:eastAsia="en-GB"/>
            <w14:ligatures w14:val="standardContextual"/>
          </w:rPr>
          <w:tab/>
        </w:r>
        <w:r w:rsidRPr="00E13F53">
          <w:rPr>
            <w:rStyle w:val="Hyperlink"/>
            <w:noProof/>
          </w:rPr>
          <w:t>Mandatory HMO Licensing Public Register</w:t>
        </w:r>
        <w:r>
          <w:rPr>
            <w:noProof/>
            <w:webHidden/>
          </w:rPr>
          <w:tab/>
        </w:r>
        <w:r>
          <w:rPr>
            <w:noProof/>
            <w:webHidden/>
          </w:rPr>
          <w:fldChar w:fldCharType="begin"/>
        </w:r>
        <w:r>
          <w:rPr>
            <w:noProof/>
            <w:webHidden/>
          </w:rPr>
          <w:instrText xml:space="preserve"> PAGEREF _Toc228375938 \h </w:instrText>
        </w:r>
        <w:r>
          <w:rPr>
            <w:noProof/>
            <w:webHidden/>
          </w:rPr>
        </w:r>
        <w:r>
          <w:rPr>
            <w:noProof/>
            <w:webHidden/>
          </w:rPr>
          <w:fldChar w:fldCharType="separate"/>
        </w:r>
        <w:r>
          <w:rPr>
            <w:noProof/>
            <w:webHidden/>
          </w:rPr>
          <w:t>6</w:t>
        </w:r>
        <w:r>
          <w:rPr>
            <w:noProof/>
            <w:webHidden/>
          </w:rPr>
          <w:fldChar w:fldCharType="end"/>
        </w:r>
      </w:hyperlink>
    </w:p>
    <w:p w14:paraId="1883F515" w14:textId="400DF5BB" w:rsidR="00D44372" w:rsidRDefault="00D44372">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8375939" w:history="1">
        <w:r w:rsidRPr="00E13F53">
          <w:rPr>
            <w:rStyle w:val="Hyperlink"/>
            <w:noProof/>
          </w:rPr>
          <w:t>2.3</w:t>
        </w:r>
        <w:r>
          <w:rPr>
            <w:rFonts w:asciiTheme="minorHAnsi" w:eastAsiaTheme="minorEastAsia" w:hAnsiTheme="minorHAnsi" w:cstheme="minorBidi"/>
            <w:noProof/>
            <w:kern w:val="2"/>
            <w:lang w:eastAsia="en-GB"/>
            <w14:ligatures w14:val="standardContextual"/>
          </w:rPr>
          <w:tab/>
        </w:r>
        <w:r w:rsidRPr="00E13F53">
          <w:rPr>
            <w:rStyle w:val="Hyperlink"/>
            <w:noProof/>
          </w:rPr>
          <w:t>Immigration Housing Request Visits</w:t>
        </w:r>
        <w:r>
          <w:rPr>
            <w:noProof/>
            <w:webHidden/>
          </w:rPr>
          <w:tab/>
        </w:r>
        <w:r>
          <w:rPr>
            <w:noProof/>
            <w:webHidden/>
          </w:rPr>
          <w:fldChar w:fldCharType="begin"/>
        </w:r>
        <w:r>
          <w:rPr>
            <w:noProof/>
            <w:webHidden/>
          </w:rPr>
          <w:instrText xml:space="preserve"> PAGEREF _Toc228375939 \h </w:instrText>
        </w:r>
        <w:r>
          <w:rPr>
            <w:noProof/>
            <w:webHidden/>
          </w:rPr>
        </w:r>
        <w:r>
          <w:rPr>
            <w:noProof/>
            <w:webHidden/>
          </w:rPr>
          <w:fldChar w:fldCharType="separate"/>
        </w:r>
        <w:r>
          <w:rPr>
            <w:noProof/>
            <w:webHidden/>
          </w:rPr>
          <w:t>7</w:t>
        </w:r>
        <w:r>
          <w:rPr>
            <w:noProof/>
            <w:webHidden/>
          </w:rPr>
          <w:fldChar w:fldCharType="end"/>
        </w:r>
      </w:hyperlink>
    </w:p>
    <w:p w14:paraId="195DD5C3" w14:textId="6CEB697F" w:rsidR="00D44372" w:rsidRDefault="00D44372">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8375940" w:history="1">
        <w:r w:rsidRPr="00E13F53">
          <w:rPr>
            <w:rStyle w:val="Hyperlink"/>
            <w:noProof/>
          </w:rPr>
          <w:t>2.4</w:t>
        </w:r>
        <w:r>
          <w:rPr>
            <w:rFonts w:asciiTheme="minorHAnsi" w:eastAsiaTheme="minorEastAsia" w:hAnsiTheme="minorHAnsi" w:cstheme="minorBidi"/>
            <w:noProof/>
            <w:kern w:val="2"/>
            <w:lang w:eastAsia="en-GB"/>
            <w14:ligatures w14:val="standardContextual"/>
          </w:rPr>
          <w:tab/>
        </w:r>
        <w:r w:rsidRPr="00E13F53">
          <w:rPr>
            <w:rStyle w:val="Hyperlink"/>
            <w:noProof/>
          </w:rPr>
          <w:t>Carrying out works with or without agreement (work in default)</w:t>
        </w:r>
        <w:r>
          <w:rPr>
            <w:noProof/>
            <w:webHidden/>
          </w:rPr>
          <w:tab/>
        </w:r>
        <w:r>
          <w:rPr>
            <w:noProof/>
            <w:webHidden/>
          </w:rPr>
          <w:fldChar w:fldCharType="begin"/>
        </w:r>
        <w:r>
          <w:rPr>
            <w:noProof/>
            <w:webHidden/>
          </w:rPr>
          <w:instrText xml:space="preserve"> PAGEREF _Toc228375940 \h </w:instrText>
        </w:r>
        <w:r>
          <w:rPr>
            <w:noProof/>
            <w:webHidden/>
          </w:rPr>
        </w:r>
        <w:r>
          <w:rPr>
            <w:noProof/>
            <w:webHidden/>
          </w:rPr>
          <w:fldChar w:fldCharType="separate"/>
        </w:r>
        <w:r>
          <w:rPr>
            <w:noProof/>
            <w:webHidden/>
          </w:rPr>
          <w:t>7</w:t>
        </w:r>
        <w:r>
          <w:rPr>
            <w:noProof/>
            <w:webHidden/>
          </w:rPr>
          <w:fldChar w:fldCharType="end"/>
        </w:r>
      </w:hyperlink>
    </w:p>
    <w:p w14:paraId="3FDE56FB" w14:textId="5E8F3CA1" w:rsidR="00D44372" w:rsidRDefault="00D44372">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8375941" w:history="1">
        <w:r w:rsidRPr="00E13F53">
          <w:rPr>
            <w:rStyle w:val="Hyperlink"/>
            <w:noProof/>
          </w:rPr>
          <w:t>2.5</w:t>
        </w:r>
        <w:r>
          <w:rPr>
            <w:rFonts w:asciiTheme="minorHAnsi" w:eastAsiaTheme="minorEastAsia" w:hAnsiTheme="minorHAnsi" w:cstheme="minorBidi"/>
            <w:noProof/>
            <w:kern w:val="2"/>
            <w:lang w:eastAsia="en-GB"/>
            <w14:ligatures w14:val="standardContextual"/>
          </w:rPr>
          <w:tab/>
        </w:r>
        <w:r w:rsidRPr="00E13F53">
          <w:rPr>
            <w:rStyle w:val="Hyperlink"/>
            <w:noProof/>
          </w:rPr>
          <w:t>Charging for Enforcement Action</w:t>
        </w:r>
        <w:r>
          <w:rPr>
            <w:noProof/>
            <w:webHidden/>
          </w:rPr>
          <w:tab/>
        </w:r>
        <w:r>
          <w:rPr>
            <w:noProof/>
            <w:webHidden/>
          </w:rPr>
          <w:fldChar w:fldCharType="begin"/>
        </w:r>
        <w:r>
          <w:rPr>
            <w:noProof/>
            <w:webHidden/>
          </w:rPr>
          <w:instrText xml:space="preserve"> PAGEREF _Toc228375941 \h </w:instrText>
        </w:r>
        <w:r>
          <w:rPr>
            <w:noProof/>
            <w:webHidden/>
          </w:rPr>
        </w:r>
        <w:r>
          <w:rPr>
            <w:noProof/>
            <w:webHidden/>
          </w:rPr>
          <w:fldChar w:fldCharType="separate"/>
        </w:r>
        <w:r>
          <w:rPr>
            <w:noProof/>
            <w:webHidden/>
          </w:rPr>
          <w:t>7</w:t>
        </w:r>
        <w:r>
          <w:rPr>
            <w:noProof/>
            <w:webHidden/>
          </w:rPr>
          <w:fldChar w:fldCharType="end"/>
        </w:r>
      </w:hyperlink>
    </w:p>
    <w:p w14:paraId="4FBBBD6A" w14:textId="36A87337" w:rsidR="00D44372" w:rsidRDefault="00D44372">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8375942" w:history="1">
        <w:r w:rsidRPr="00E13F53">
          <w:rPr>
            <w:rStyle w:val="Hyperlink"/>
            <w:noProof/>
          </w:rPr>
          <w:t>2.6</w:t>
        </w:r>
        <w:r>
          <w:rPr>
            <w:rFonts w:asciiTheme="minorHAnsi" w:eastAsiaTheme="minorEastAsia" w:hAnsiTheme="minorHAnsi" w:cstheme="minorBidi"/>
            <w:noProof/>
            <w:kern w:val="2"/>
            <w:lang w:eastAsia="en-GB"/>
            <w14:ligatures w14:val="standardContextual"/>
          </w:rPr>
          <w:tab/>
        </w:r>
        <w:r w:rsidRPr="00E13F53">
          <w:rPr>
            <w:rStyle w:val="Hyperlink"/>
            <w:noProof/>
          </w:rPr>
          <w:t>Setting the Fee</w:t>
        </w:r>
        <w:r>
          <w:rPr>
            <w:noProof/>
            <w:webHidden/>
          </w:rPr>
          <w:tab/>
        </w:r>
        <w:r>
          <w:rPr>
            <w:noProof/>
            <w:webHidden/>
          </w:rPr>
          <w:fldChar w:fldCharType="begin"/>
        </w:r>
        <w:r>
          <w:rPr>
            <w:noProof/>
            <w:webHidden/>
          </w:rPr>
          <w:instrText xml:space="preserve"> PAGEREF _Toc228375942 \h </w:instrText>
        </w:r>
        <w:r>
          <w:rPr>
            <w:noProof/>
            <w:webHidden/>
          </w:rPr>
        </w:r>
        <w:r>
          <w:rPr>
            <w:noProof/>
            <w:webHidden/>
          </w:rPr>
          <w:fldChar w:fldCharType="separate"/>
        </w:r>
        <w:r>
          <w:rPr>
            <w:noProof/>
            <w:webHidden/>
          </w:rPr>
          <w:t>8</w:t>
        </w:r>
        <w:r>
          <w:rPr>
            <w:noProof/>
            <w:webHidden/>
          </w:rPr>
          <w:fldChar w:fldCharType="end"/>
        </w:r>
      </w:hyperlink>
    </w:p>
    <w:p w14:paraId="705E6A5D" w14:textId="24A2EFE8" w:rsidR="00D44372" w:rsidRDefault="00D44372">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8375943" w:history="1">
        <w:r w:rsidRPr="00E13F53">
          <w:rPr>
            <w:rStyle w:val="Hyperlink"/>
            <w:noProof/>
          </w:rPr>
          <w:t>2.7</w:t>
        </w:r>
        <w:r>
          <w:rPr>
            <w:rFonts w:asciiTheme="minorHAnsi" w:eastAsiaTheme="minorEastAsia" w:hAnsiTheme="minorHAnsi" w:cstheme="minorBidi"/>
            <w:noProof/>
            <w:kern w:val="2"/>
            <w:lang w:eastAsia="en-GB"/>
            <w14:ligatures w14:val="standardContextual"/>
          </w:rPr>
          <w:tab/>
        </w:r>
        <w:r w:rsidRPr="00E13F53">
          <w:rPr>
            <w:rStyle w:val="Hyperlink"/>
            <w:noProof/>
          </w:rPr>
          <w:t>Applying the Fee</w:t>
        </w:r>
        <w:r>
          <w:rPr>
            <w:noProof/>
            <w:webHidden/>
          </w:rPr>
          <w:tab/>
        </w:r>
        <w:r>
          <w:rPr>
            <w:noProof/>
            <w:webHidden/>
          </w:rPr>
          <w:fldChar w:fldCharType="begin"/>
        </w:r>
        <w:r>
          <w:rPr>
            <w:noProof/>
            <w:webHidden/>
          </w:rPr>
          <w:instrText xml:space="preserve"> PAGEREF _Toc228375943 \h </w:instrText>
        </w:r>
        <w:r>
          <w:rPr>
            <w:noProof/>
            <w:webHidden/>
          </w:rPr>
        </w:r>
        <w:r>
          <w:rPr>
            <w:noProof/>
            <w:webHidden/>
          </w:rPr>
          <w:fldChar w:fldCharType="separate"/>
        </w:r>
        <w:r>
          <w:rPr>
            <w:noProof/>
            <w:webHidden/>
          </w:rPr>
          <w:t>8</w:t>
        </w:r>
        <w:r>
          <w:rPr>
            <w:noProof/>
            <w:webHidden/>
          </w:rPr>
          <w:fldChar w:fldCharType="end"/>
        </w:r>
      </w:hyperlink>
    </w:p>
    <w:p w14:paraId="71237056" w14:textId="6975237D" w:rsidR="00D44372" w:rsidRDefault="00D44372">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8375944" w:history="1">
        <w:r w:rsidRPr="00E13F53">
          <w:rPr>
            <w:rStyle w:val="Hyperlink"/>
            <w:noProof/>
          </w:rPr>
          <w:t>2.8</w:t>
        </w:r>
        <w:r>
          <w:rPr>
            <w:rFonts w:asciiTheme="minorHAnsi" w:eastAsiaTheme="minorEastAsia" w:hAnsiTheme="minorHAnsi" w:cstheme="minorBidi"/>
            <w:noProof/>
            <w:kern w:val="2"/>
            <w:lang w:eastAsia="en-GB"/>
            <w14:ligatures w14:val="standardContextual"/>
          </w:rPr>
          <w:tab/>
        </w:r>
        <w:r w:rsidRPr="00E13F53">
          <w:rPr>
            <w:rStyle w:val="Hyperlink"/>
            <w:noProof/>
          </w:rPr>
          <w:t>Recovering the Fee</w:t>
        </w:r>
        <w:r>
          <w:rPr>
            <w:noProof/>
            <w:webHidden/>
          </w:rPr>
          <w:tab/>
        </w:r>
        <w:r>
          <w:rPr>
            <w:noProof/>
            <w:webHidden/>
          </w:rPr>
          <w:fldChar w:fldCharType="begin"/>
        </w:r>
        <w:r>
          <w:rPr>
            <w:noProof/>
            <w:webHidden/>
          </w:rPr>
          <w:instrText xml:space="preserve"> PAGEREF _Toc228375944 \h </w:instrText>
        </w:r>
        <w:r>
          <w:rPr>
            <w:noProof/>
            <w:webHidden/>
          </w:rPr>
        </w:r>
        <w:r>
          <w:rPr>
            <w:noProof/>
            <w:webHidden/>
          </w:rPr>
          <w:fldChar w:fldCharType="separate"/>
        </w:r>
        <w:r>
          <w:rPr>
            <w:noProof/>
            <w:webHidden/>
          </w:rPr>
          <w:t>8</w:t>
        </w:r>
        <w:r>
          <w:rPr>
            <w:noProof/>
            <w:webHidden/>
          </w:rPr>
          <w:fldChar w:fldCharType="end"/>
        </w:r>
      </w:hyperlink>
    </w:p>
    <w:p w14:paraId="77998B80" w14:textId="0BA237BC" w:rsidR="00D44372" w:rsidRDefault="00D44372">
      <w:pPr>
        <w:pStyle w:val="TOC1"/>
        <w:tabs>
          <w:tab w:val="right" w:leader="dot" w:pos="9629"/>
        </w:tabs>
        <w:rPr>
          <w:rFonts w:asciiTheme="minorHAnsi" w:eastAsiaTheme="minorEastAsia" w:hAnsiTheme="minorHAnsi" w:cstheme="minorBidi"/>
          <w:b w:val="0"/>
          <w:noProof/>
          <w:kern w:val="2"/>
          <w:lang w:eastAsia="en-GB"/>
          <w14:ligatures w14:val="standardContextual"/>
        </w:rPr>
      </w:pPr>
      <w:hyperlink w:anchor="_Toc228375945" w:history="1">
        <w:r w:rsidRPr="00E13F53">
          <w:rPr>
            <w:rStyle w:val="Hyperlink"/>
            <w:noProof/>
            <w:lang w:eastAsia="en-GB"/>
          </w:rPr>
          <w:t>3</w:t>
        </w:r>
        <w:r>
          <w:rPr>
            <w:rFonts w:asciiTheme="minorHAnsi" w:eastAsiaTheme="minorEastAsia" w:hAnsiTheme="minorHAnsi" w:cstheme="minorBidi"/>
            <w:b w:val="0"/>
            <w:noProof/>
            <w:kern w:val="2"/>
            <w:lang w:eastAsia="en-GB"/>
            <w14:ligatures w14:val="standardContextual"/>
          </w:rPr>
          <w:tab/>
        </w:r>
        <w:r w:rsidRPr="00E13F53">
          <w:rPr>
            <w:rStyle w:val="Hyperlink"/>
            <w:noProof/>
            <w:lang w:eastAsia="en-GB"/>
          </w:rPr>
          <w:t>Financial Penalties</w:t>
        </w:r>
        <w:r>
          <w:rPr>
            <w:noProof/>
            <w:webHidden/>
          </w:rPr>
          <w:tab/>
        </w:r>
        <w:r>
          <w:rPr>
            <w:noProof/>
            <w:webHidden/>
          </w:rPr>
          <w:fldChar w:fldCharType="begin"/>
        </w:r>
        <w:r>
          <w:rPr>
            <w:noProof/>
            <w:webHidden/>
          </w:rPr>
          <w:instrText xml:space="preserve"> PAGEREF _Toc228375945 \h </w:instrText>
        </w:r>
        <w:r>
          <w:rPr>
            <w:noProof/>
            <w:webHidden/>
          </w:rPr>
        </w:r>
        <w:r>
          <w:rPr>
            <w:noProof/>
            <w:webHidden/>
          </w:rPr>
          <w:fldChar w:fldCharType="separate"/>
        </w:r>
        <w:r>
          <w:rPr>
            <w:noProof/>
            <w:webHidden/>
          </w:rPr>
          <w:t>9</w:t>
        </w:r>
        <w:r>
          <w:rPr>
            <w:noProof/>
            <w:webHidden/>
          </w:rPr>
          <w:fldChar w:fldCharType="end"/>
        </w:r>
      </w:hyperlink>
    </w:p>
    <w:p w14:paraId="58899BDE" w14:textId="7843AD87" w:rsidR="00D44372" w:rsidRDefault="00D44372">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8375946" w:history="1">
        <w:r w:rsidRPr="00E13F53">
          <w:rPr>
            <w:rStyle w:val="Hyperlink"/>
            <w:noProof/>
            <w:lang w:eastAsia="en-GB"/>
          </w:rPr>
          <w:t>3.1</w:t>
        </w:r>
        <w:r>
          <w:rPr>
            <w:rFonts w:asciiTheme="minorHAnsi" w:eastAsiaTheme="minorEastAsia" w:hAnsiTheme="minorHAnsi" w:cstheme="minorBidi"/>
            <w:noProof/>
            <w:kern w:val="2"/>
            <w:lang w:eastAsia="en-GB"/>
            <w14:ligatures w14:val="standardContextual"/>
          </w:rPr>
          <w:tab/>
        </w:r>
        <w:r w:rsidRPr="00E13F53">
          <w:rPr>
            <w:rStyle w:val="Hyperlink"/>
            <w:noProof/>
            <w:lang w:eastAsia="en-GB"/>
          </w:rPr>
          <w:t>Financial penalties for offences and breaches of the Renters’ Rights Act 2025</w:t>
        </w:r>
        <w:r>
          <w:rPr>
            <w:noProof/>
            <w:webHidden/>
          </w:rPr>
          <w:tab/>
        </w:r>
        <w:r>
          <w:rPr>
            <w:noProof/>
            <w:webHidden/>
          </w:rPr>
          <w:fldChar w:fldCharType="begin"/>
        </w:r>
        <w:r>
          <w:rPr>
            <w:noProof/>
            <w:webHidden/>
          </w:rPr>
          <w:instrText xml:space="preserve"> PAGEREF _Toc228375946 \h </w:instrText>
        </w:r>
        <w:r>
          <w:rPr>
            <w:noProof/>
            <w:webHidden/>
          </w:rPr>
        </w:r>
        <w:r>
          <w:rPr>
            <w:noProof/>
            <w:webHidden/>
          </w:rPr>
          <w:fldChar w:fldCharType="separate"/>
        </w:r>
        <w:r>
          <w:rPr>
            <w:noProof/>
            <w:webHidden/>
          </w:rPr>
          <w:t>9</w:t>
        </w:r>
        <w:r>
          <w:rPr>
            <w:noProof/>
            <w:webHidden/>
          </w:rPr>
          <w:fldChar w:fldCharType="end"/>
        </w:r>
      </w:hyperlink>
    </w:p>
    <w:p w14:paraId="322D82EB" w14:textId="5D5334C9" w:rsidR="00D44372" w:rsidRDefault="00D44372">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8375947" w:history="1">
        <w:r w:rsidRPr="00E13F53">
          <w:rPr>
            <w:rStyle w:val="Hyperlink"/>
            <w:noProof/>
            <w:lang w:eastAsia="en-GB"/>
          </w:rPr>
          <w:t>3.2</w:t>
        </w:r>
        <w:r>
          <w:rPr>
            <w:rFonts w:asciiTheme="minorHAnsi" w:eastAsiaTheme="minorEastAsia" w:hAnsiTheme="minorHAnsi" w:cstheme="minorBidi"/>
            <w:noProof/>
            <w:kern w:val="2"/>
            <w:lang w:eastAsia="en-GB"/>
            <w14:ligatures w14:val="standardContextual"/>
          </w:rPr>
          <w:tab/>
        </w:r>
        <w:r w:rsidRPr="00E13F53">
          <w:rPr>
            <w:rStyle w:val="Hyperlink"/>
            <w:noProof/>
            <w:lang w:eastAsia="en-GB"/>
          </w:rPr>
          <w:t>Penalty Charges for offences under the Smoke and Carbon Monoxide Alarm (England) Regulations 2015 as amended 2022</w:t>
        </w:r>
        <w:r>
          <w:rPr>
            <w:noProof/>
            <w:webHidden/>
          </w:rPr>
          <w:tab/>
        </w:r>
        <w:r>
          <w:rPr>
            <w:noProof/>
            <w:webHidden/>
          </w:rPr>
          <w:fldChar w:fldCharType="begin"/>
        </w:r>
        <w:r>
          <w:rPr>
            <w:noProof/>
            <w:webHidden/>
          </w:rPr>
          <w:instrText xml:space="preserve"> PAGEREF _Toc228375947 \h </w:instrText>
        </w:r>
        <w:r>
          <w:rPr>
            <w:noProof/>
            <w:webHidden/>
          </w:rPr>
        </w:r>
        <w:r>
          <w:rPr>
            <w:noProof/>
            <w:webHidden/>
          </w:rPr>
          <w:fldChar w:fldCharType="separate"/>
        </w:r>
        <w:r>
          <w:rPr>
            <w:noProof/>
            <w:webHidden/>
          </w:rPr>
          <w:t>11</w:t>
        </w:r>
        <w:r>
          <w:rPr>
            <w:noProof/>
            <w:webHidden/>
          </w:rPr>
          <w:fldChar w:fldCharType="end"/>
        </w:r>
      </w:hyperlink>
    </w:p>
    <w:p w14:paraId="17044119" w14:textId="5C4E7EB4" w:rsidR="00D44372" w:rsidRDefault="00D44372">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8375948" w:history="1">
        <w:r w:rsidRPr="00E13F53">
          <w:rPr>
            <w:rStyle w:val="Hyperlink"/>
            <w:noProof/>
          </w:rPr>
          <w:t>3.3</w:t>
        </w:r>
        <w:r>
          <w:rPr>
            <w:rFonts w:asciiTheme="minorHAnsi" w:eastAsiaTheme="minorEastAsia" w:hAnsiTheme="minorHAnsi" w:cstheme="minorBidi"/>
            <w:noProof/>
            <w:kern w:val="2"/>
            <w:lang w:eastAsia="en-GB"/>
            <w14:ligatures w14:val="standardContextual"/>
          </w:rPr>
          <w:tab/>
        </w:r>
        <w:r w:rsidRPr="00E13F53">
          <w:rPr>
            <w:rStyle w:val="Hyperlink"/>
            <w:noProof/>
          </w:rPr>
          <w:t>Financial penalties for breaches of the Electrical Safety Standards in the Private Rented Sector (England) Regulations 2020 (Amendment) (Extension to the Social Rented Sector) Regulations 2025.</w:t>
        </w:r>
        <w:r>
          <w:rPr>
            <w:noProof/>
            <w:webHidden/>
          </w:rPr>
          <w:tab/>
        </w:r>
        <w:r>
          <w:rPr>
            <w:noProof/>
            <w:webHidden/>
          </w:rPr>
          <w:fldChar w:fldCharType="begin"/>
        </w:r>
        <w:r>
          <w:rPr>
            <w:noProof/>
            <w:webHidden/>
          </w:rPr>
          <w:instrText xml:space="preserve"> PAGEREF _Toc228375948 \h </w:instrText>
        </w:r>
        <w:r>
          <w:rPr>
            <w:noProof/>
            <w:webHidden/>
          </w:rPr>
        </w:r>
        <w:r>
          <w:rPr>
            <w:noProof/>
            <w:webHidden/>
          </w:rPr>
          <w:fldChar w:fldCharType="separate"/>
        </w:r>
        <w:r>
          <w:rPr>
            <w:noProof/>
            <w:webHidden/>
          </w:rPr>
          <w:t>12</w:t>
        </w:r>
        <w:r>
          <w:rPr>
            <w:noProof/>
            <w:webHidden/>
          </w:rPr>
          <w:fldChar w:fldCharType="end"/>
        </w:r>
      </w:hyperlink>
    </w:p>
    <w:p w14:paraId="194219C0" w14:textId="5060DFC9" w:rsidR="00D44372" w:rsidRDefault="00D44372">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8375949" w:history="1">
        <w:r w:rsidRPr="00E13F53">
          <w:rPr>
            <w:rStyle w:val="Hyperlink"/>
            <w:noProof/>
            <w:lang w:eastAsia="en-GB"/>
          </w:rPr>
          <w:t>3.4</w:t>
        </w:r>
        <w:r>
          <w:rPr>
            <w:rFonts w:asciiTheme="minorHAnsi" w:eastAsiaTheme="minorEastAsia" w:hAnsiTheme="minorHAnsi" w:cstheme="minorBidi"/>
            <w:noProof/>
            <w:kern w:val="2"/>
            <w:lang w:eastAsia="en-GB"/>
            <w14:ligatures w14:val="standardContextual"/>
          </w:rPr>
          <w:tab/>
        </w:r>
        <w:r w:rsidRPr="00E13F53">
          <w:rPr>
            <w:rStyle w:val="Hyperlink"/>
            <w:noProof/>
            <w:lang w:eastAsia="en-GB"/>
          </w:rPr>
          <w:t>Penalties for offences under The Energy Efficiency (Private Rented Property) (England and Wales) Regulations 2015 as amended 2016</w:t>
        </w:r>
        <w:r>
          <w:rPr>
            <w:noProof/>
            <w:webHidden/>
          </w:rPr>
          <w:tab/>
        </w:r>
        <w:r>
          <w:rPr>
            <w:noProof/>
            <w:webHidden/>
          </w:rPr>
          <w:fldChar w:fldCharType="begin"/>
        </w:r>
        <w:r>
          <w:rPr>
            <w:noProof/>
            <w:webHidden/>
          </w:rPr>
          <w:instrText xml:space="preserve"> PAGEREF _Toc228375949 \h </w:instrText>
        </w:r>
        <w:r>
          <w:rPr>
            <w:noProof/>
            <w:webHidden/>
          </w:rPr>
        </w:r>
        <w:r>
          <w:rPr>
            <w:noProof/>
            <w:webHidden/>
          </w:rPr>
          <w:fldChar w:fldCharType="separate"/>
        </w:r>
        <w:r>
          <w:rPr>
            <w:noProof/>
            <w:webHidden/>
          </w:rPr>
          <w:t>12</w:t>
        </w:r>
        <w:r>
          <w:rPr>
            <w:noProof/>
            <w:webHidden/>
          </w:rPr>
          <w:fldChar w:fldCharType="end"/>
        </w:r>
      </w:hyperlink>
    </w:p>
    <w:p w14:paraId="17E2A109" w14:textId="5E823F1D" w:rsidR="00D44372" w:rsidRDefault="00D44372">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8375950" w:history="1">
        <w:r w:rsidRPr="00E13F53">
          <w:rPr>
            <w:rStyle w:val="Hyperlink"/>
            <w:noProof/>
            <w:lang w:eastAsia="en-GB"/>
          </w:rPr>
          <w:t>3.5</w:t>
        </w:r>
        <w:r>
          <w:rPr>
            <w:rFonts w:asciiTheme="minorHAnsi" w:eastAsiaTheme="minorEastAsia" w:hAnsiTheme="minorHAnsi" w:cstheme="minorBidi"/>
            <w:noProof/>
            <w:kern w:val="2"/>
            <w:lang w:eastAsia="en-GB"/>
            <w14:ligatures w14:val="standardContextual"/>
          </w:rPr>
          <w:tab/>
        </w:r>
        <w:r w:rsidRPr="00E13F53">
          <w:rPr>
            <w:rStyle w:val="Hyperlink"/>
            <w:noProof/>
            <w:lang w:eastAsia="en-GB"/>
          </w:rPr>
          <w:t>Financial penalties for breaches of a banning order</w:t>
        </w:r>
        <w:r>
          <w:rPr>
            <w:noProof/>
            <w:webHidden/>
          </w:rPr>
          <w:tab/>
        </w:r>
        <w:r>
          <w:rPr>
            <w:noProof/>
            <w:webHidden/>
          </w:rPr>
          <w:fldChar w:fldCharType="begin"/>
        </w:r>
        <w:r>
          <w:rPr>
            <w:noProof/>
            <w:webHidden/>
          </w:rPr>
          <w:instrText xml:space="preserve"> PAGEREF _Toc228375950 \h </w:instrText>
        </w:r>
        <w:r>
          <w:rPr>
            <w:noProof/>
            <w:webHidden/>
          </w:rPr>
        </w:r>
        <w:r>
          <w:rPr>
            <w:noProof/>
            <w:webHidden/>
          </w:rPr>
          <w:fldChar w:fldCharType="separate"/>
        </w:r>
        <w:r>
          <w:rPr>
            <w:noProof/>
            <w:webHidden/>
          </w:rPr>
          <w:t>13</w:t>
        </w:r>
        <w:r>
          <w:rPr>
            <w:noProof/>
            <w:webHidden/>
          </w:rPr>
          <w:fldChar w:fldCharType="end"/>
        </w:r>
      </w:hyperlink>
    </w:p>
    <w:p w14:paraId="6C489847" w14:textId="604CBED7" w:rsidR="00D44372" w:rsidRDefault="00D44372">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8375951" w:history="1">
        <w:r w:rsidRPr="00E13F53">
          <w:rPr>
            <w:rStyle w:val="Hyperlink"/>
            <w:noProof/>
            <w:lang w:eastAsia="en-GB"/>
          </w:rPr>
          <w:t>3.6</w:t>
        </w:r>
        <w:r>
          <w:rPr>
            <w:rFonts w:asciiTheme="minorHAnsi" w:eastAsiaTheme="minorEastAsia" w:hAnsiTheme="minorHAnsi" w:cstheme="minorBidi"/>
            <w:noProof/>
            <w:kern w:val="2"/>
            <w:lang w:eastAsia="en-GB"/>
            <w14:ligatures w14:val="standardContextual"/>
          </w:rPr>
          <w:tab/>
        </w:r>
        <w:r w:rsidRPr="00E13F53">
          <w:rPr>
            <w:rStyle w:val="Hyperlink"/>
            <w:noProof/>
            <w:lang w:eastAsia="en-GB"/>
          </w:rPr>
          <w:t>Financial penalties for Housing Act 2004 offences</w:t>
        </w:r>
        <w:r>
          <w:rPr>
            <w:noProof/>
            <w:webHidden/>
          </w:rPr>
          <w:tab/>
        </w:r>
        <w:r>
          <w:rPr>
            <w:noProof/>
            <w:webHidden/>
          </w:rPr>
          <w:fldChar w:fldCharType="begin"/>
        </w:r>
        <w:r>
          <w:rPr>
            <w:noProof/>
            <w:webHidden/>
          </w:rPr>
          <w:instrText xml:space="preserve"> PAGEREF _Toc228375951 \h </w:instrText>
        </w:r>
        <w:r>
          <w:rPr>
            <w:noProof/>
            <w:webHidden/>
          </w:rPr>
        </w:r>
        <w:r>
          <w:rPr>
            <w:noProof/>
            <w:webHidden/>
          </w:rPr>
          <w:fldChar w:fldCharType="separate"/>
        </w:r>
        <w:r>
          <w:rPr>
            <w:noProof/>
            <w:webHidden/>
          </w:rPr>
          <w:t>13</w:t>
        </w:r>
        <w:r>
          <w:rPr>
            <w:noProof/>
            <w:webHidden/>
          </w:rPr>
          <w:fldChar w:fldCharType="end"/>
        </w:r>
      </w:hyperlink>
    </w:p>
    <w:p w14:paraId="3806DCF8" w14:textId="34C52C3F" w:rsidR="00D44372" w:rsidRDefault="00D44372">
      <w:pPr>
        <w:pStyle w:val="TOC1"/>
        <w:tabs>
          <w:tab w:val="right" w:leader="dot" w:pos="9629"/>
        </w:tabs>
        <w:rPr>
          <w:rFonts w:asciiTheme="minorHAnsi" w:eastAsiaTheme="minorEastAsia" w:hAnsiTheme="minorHAnsi" w:cstheme="minorBidi"/>
          <w:b w:val="0"/>
          <w:noProof/>
          <w:kern w:val="2"/>
          <w:lang w:eastAsia="en-GB"/>
          <w14:ligatures w14:val="standardContextual"/>
        </w:rPr>
      </w:pPr>
      <w:hyperlink w:anchor="_Toc228375952" w:history="1">
        <w:r w:rsidRPr="00E13F53">
          <w:rPr>
            <w:rStyle w:val="Hyperlink"/>
            <w:noProof/>
            <w:lang w:eastAsia="en-GB"/>
          </w:rPr>
          <w:t>4</w:t>
        </w:r>
        <w:r>
          <w:rPr>
            <w:rFonts w:asciiTheme="minorHAnsi" w:eastAsiaTheme="minorEastAsia" w:hAnsiTheme="minorHAnsi" w:cstheme="minorBidi"/>
            <w:b w:val="0"/>
            <w:noProof/>
            <w:kern w:val="2"/>
            <w:lang w:eastAsia="en-GB"/>
            <w14:ligatures w14:val="standardContextual"/>
          </w:rPr>
          <w:tab/>
        </w:r>
        <w:r w:rsidRPr="00E13F53">
          <w:rPr>
            <w:rStyle w:val="Hyperlink"/>
            <w:noProof/>
            <w:lang w:eastAsia="en-GB"/>
          </w:rPr>
          <w:t>Policy approach and decision-making</w:t>
        </w:r>
        <w:r>
          <w:rPr>
            <w:noProof/>
            <w:webHidden/>
          </w:rPr>
          <w:tab/>
        </w:r>
        <w:r>
          <w:rPr>
            <w:noProof/>
            <w:webHidden/>
          </w:rPr>
          <w:fldChar w:fldCharType="begin"/>
        </w:r>
        <w:r>
          <w:rPr>
            <w:noProof/>
            <w:webHidden/>
          </w:rPr>
          <w:instrText xml:space="preserve"> PAGEREF _Toc228375952 \h </w:instrText>
        </w:r>
        <w:r>
          <w:rPr>
            <w:noProof/>
            <w:webHidden/>
          </w:rPr>
        </w:r>
        <w:r>
          <w:rPr>
            <w:noProof/>
            <w:webHidden/>
          </w:rPr>
          <w:fldChar w:fldCharType="separate"/>
        </w:r>
        <w:r>
          <w:rPr>
            <w:noProof/>
            <w:webHidden/>
          </w:rPr>
          <w:t>14</w:t>
        </w:r>
        <w:r>
          <w:rPr>
            <w:noProof/>
            <w:webHidden/>
          </w:rPr>
          <w:fldChar w:fldCharType="end"/>
        </w:r>
      </w:hyperlink>
    </w:p>
    <w:p w14:paraId="7A57F5A0" w14:textId="1469AC2D" w:rsidR="00D44372" w:rsidRDefault="00D44372">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8375953" w:history="1">
        <w:r w:rsidRPr="00E13F53">
          <w:rPr>
            <w:rStyle w:val="Hyperlink"/>
            <w:noProof/>
            <w:lang w:eastAsia="en-GB"/>
          </w:rPr>
          <w:t>4.1</w:t>
        </w:r>
        <w:r>
          <w:rPr>
            <w:rFonts w:asciiTheme="minorHAnsi" w:eastAsiaTheme="minorEastAsia" w:hAnsiTheme="minorHAnsi" w:cstheme="minorBidi"/>
            <w:noProof/>
            <w:kern w:val="2"/>
            <w:lang w:eastAsia="en-GB"/>
            <w14:ligatures w14:val="standardContextual"/>
          </w:rPr>
          <w:tab/>
        </w:r>
        <w:r w:rsidRPr="00E13F53">
          <w:rPr>
            <w:rStyle w:val="Hyperlink"/>
            <w:noProof/>
            <w:lang w:eastAsia="en-GB"/>
          </w:rPr>
          <w:t>Enforcement Policy</w:t>
        </w:r>
        <w:r>
          <w:rPr>
            <w:noProof/>
            <w:webHidden/>
          </w:rPr>
          <w:tab/>
        </w:r>
        <w:r>
          <w:rPr>
            <w:noProof/>
            <w:webHidden/>
          </w:rPr>
          <w:fldChar w:fldCharType="begin"/>
        </w:r>
        <w:r>
          <w:rPr>
            <w:noProof/>
            <w:webHidden/>
          </w:rPr>
          <w:instrText xml:space="preserve"> PAGEREF _Toc228375953 \h </w:instrText>
        </w:r>
        <w:r>
          <w:rPr>
            <w:noProof/>
            <w:webHidden/>
          </w:rPr>
        </w:r>
        <w:r>
          <w:rPr>
            <w:noProof/>
            <w:webHidden/>
          </w:rPr>
          <w:fldChar w:fldCharType="separate"/>
        </w:r>
        <w:r>
          <w:rPr>
            <w:noProof/>
            <w:webHidden/>
          </w:rPr>
          <w:t>14</w:t>
        </w:r>
        <w:r>
          <w:rPr>
            <w:noProof/>
            <w:webHidden/>
          </w:rPr>
          <w:fldChar w:fldCharType="end"/>
        </w:r>
      </w:hyperlink>
    </w:p>
    <w:p w14:paraId="1B76EBAB" w14:textId="372998F5" w:rsidR="00D44372" w:rsidRDefault="00D44372">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8375954" w:history="1">
        <w:r w:rsidRPr="00E13F53">
          <w:rPr>
            <w:rStyle w:val="Hyperlink"/>
            <w:noProof/>
            <w:lang w:eastAsia="en-GB"/>
          </w:rPr>
          <w:t>4.2</w:t>
        </w:r>
        <w:r>
          <w:rPr>
            <w:rFonts w:asciiTheme="minorHAnsi" w:eastAsiaTheme="minorEastAsia" w:hAnsiTheme="minorHAnsi" w:cstheme="minorBidi"/>
            <w:noProof/>
            <w:kern w:val="2"/>
            <w:lang w:eastAsia="en-GB"/>
            <w14:ligatures w14:val="standardContextual"/>
          </w:rPr>
          <w:tab/>
        </w:r>
        <w:r w:rsidRPr="00E13F53">
          <w:rPr>
            <w:rStyle w:val="Hyperlink"/>
            <w:noProof/>
            <w:lang w:eastAsia="en-GB"/>
          </w:rPr>
          <w:t>Burden of proof</w:t>
        </w:r>
        <w:r>
          <w:rPr>
            <w:noProof/>
            <w:webHidden/>
          </w:rPr>
          <w:tab/>
        </w:r>
        <w:r>
          <w:rPr>
            <w:noProof/>
            <w:webHidden/>
          </w:rPr>
          <w:fldChar w:fldCharType="begin"/>
        </w:r>
        <w:r>
          <w:rPr>
            <w:noProof/>
            <w:webHidden/>
          </w:rPr>
          <w:instrText xml:space="preserve"> PAGEREF _Toc228375954 \h </w:instrText>
        </w:r>
        <w:r>
          <w:rPr>
            <w:noProof/>
            <w:webHidden/>
          </w:rPr>
        </w:r>
        <w:r>
          <w:rPr>
            <w:noProof/>
            <w:webHidden/>
          </w:rPr>
          <w:fldChar w:fldCharType="separate"/>
        </w:r>
        <w:r>
          <w:rPr>
            <w:noProof/>
            <w:webHidden/>
          </w:rPr>
          <w:t>15</w:t>
        </w:r>
        <w:r>
          <w:rPr>
            <w:noProof/>
            <w:webHidden/>
          </w:rPr>
          <w:fldChar w:fldCharType="end"/>
        </w:r>
      </w:hyperlink>
    </w:p>
    <w:p w14:paraId="3C3BD25E" w14:textId="435AE48E" w:rsidR="00D44372" w:rsidRDefault="00D44372">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8375955" w:history="1">
        <w:r w:rsidRPr="00E13F53">
          <w:rPr>
            <w:rStyle w:val="Hyperlink"/>
            <w:noProof/>
          </w:rPr>
          <w:t>4.3</w:t>
        </w:r>
        <w:r>
          <w:rPr>
            <w:rFonts w:asciiTheme="minorHAnsi" w:eastAsiaTheme="minorEastAsia" w:hAnsiTheme="minorHAnsi" w:cstheme="minorBidi"/>
            <w:noProof/>
            <w:kern w:val="2"/>
            <w:lang w:eastAsia="en-GB"/>
            <w14:ligatures w14:val="standardContextual"/>
          </w:rPr>
          <w:tab/>
        </w:r>
        <w:r w:rsidRPr="00E13F53">
          <w:rPr>
            <w:rStyle w:val="Hyperlink"/>
            <w:noProof/>
          </w:rPr>
          <w:t>Procedure and appeals</w:t>
        </w:r>
        <w:r>
          <w:rPr>
            <w:noProof/>
            <w:webHidden/>
          </w:rPr>
          <w:tab/>
        </w:r>
        <w:r>
          <w:rPr>
            <w:noProof/>
            <w:webHidden/>
          </w:rPr>
          <w:fldChar w:fldCharType="begin"/>
        </w:r>
        <w:r>
          <w:rPr>
            <w:noProof/>
            <w:webHidden/>
          </w:rPr>
          <w:instrText xml:space="preserve"> PAGEREF _Toc228375955 \h </w:instrText>
        </w:r>
        <w:r>
          <w:rPr>
            <w:noProof/>
            <w:webHidden/>
          </w:rPr>
        </w:r>
        <w:r>
          <w:rPr>
            <w:noProof/>
            <w:webHidden/>
          </w:rPr>
          <w:fldChar w:fldCharType="separate"/>
        </w:r>
        <w:r>
          <w:rPr>
            <w:noProof/>
            <w:webHidden/>
          </w:rPr>
          <w:t>15</w:t>
        </w:r>
        <w:r>
          <w:rPr>
            <w:noProof/>
            <w:webHidden/>
          </w:rPr>
          <w:fldChar w:fldCharType="end"/>
        </w:r>
      </w:hyperlink>
    </w:p>
    <w:p w14:paraId="5E02326B" w14:textId="21D4D45B" w:rsidR="00D44372" w:rsidRDefault="00D44372">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8375956" w:history="1">
        <w:r w:rsidRPr="00E13F53">
          <w:rPr>
            <w:rStyle w:val="Hyperlink"/>
            <w:noProof/>
          </w:rPr>
          <w:t>4.4</w:t>
        </w:r>
        <w:r>
          <w:rPr>
            <w:rFonts w:asciiTheme="minorHAnsi" w:eastAsiaTheme="minorEastAsia" w:hAnsiTheme="minorHAnsi" w:cstheme="minorBidi"/>
            <w:noProof/>
            <w:kern w:val="2"/>
            <w:lang w:eastAsia="en-GB"/>
            <w14:ligatures w14:val="standardContextual"/>
          </w:rPr>
          <w:tab/>
        </w:r>
        <w:r w:rsidRPr="00E13F53">
          <w:rPr>
            <w:rStyle w:val="Hyperlink"/>
            <w:noProof/>
          </w:rPr>
          <w:t>Enforcement and other consequences</w:t>
        </w:r>
        <w:r>
          <w:rPr>
            <w:noProof/>
            <w:webHidden/>
          </w:rPr>
          <w:tab/>
        </w:r>
        <w:r>
          <w:rPr>
            <w:noProof/>
            <w:webHidden/>
          </w:rPr>
          <w:fldChar w:fldCharType="begin"/>
        </w:r>
        <w:r>
          <w:rPr>
            <w:noProof/>
            <w:webHidden/>
          </w:rPr>
          <w:instrText xml:space="preserve"> PAGEREF _Toc228375956 \h </w:instrText>
        </w:r>
        <w:r>
          <w:rPr>
            <w:noProof/>
            <w:webHidden/>
          </w:rPr>
        </w:r>
        <w:r>
          <w:rPr>
            <w:noProof/>
            <w:webHidden/>
          </w:rPr>
          <w:fldChar w:fldCharType="separate"/>
        </w:r>
        <w:r>
          <w:rPr>
            <w:noProof/>
            <w:webHidden/>
          </w:rPr>
          <w:t>15</w:t>
        </w:r>
        <w:r>
          <w:rPr>
            <w:noProof/>
            <w:webHidden/>
          </w:rPr>
          <w:fldChar w:fldCharType="end"/>
        </w:r>
      </w:hyperlink>
    </w:p>
    <w:p w14:paraId="15551DA6" w14:textId="3BA46DF5" w:rsidR="00D44372" w:rsidRDefault="00D44372">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8375957" w:history="1">
        <w:r w:rsidRPr="00E13F53">
          <w:rPr>
            <w:rStyle w:val="Hyperlink"/>
            <w:noProof/>
          </w:rPr>
          <w:t>4.5</w:t>
        </w:r>
        <w:r>
          <w:rPr>
            <w:rFonts w:asciiTheme="minorHAnsi" w:eastAsiaTheme="minorEastAsia" w:hAnsiTheme="minorHAnsi" w:cstheme="minorBidi"/>
            <w:noProof/>
            <w:kern w:val="2"/>
            <w:lang w:eastAsia="en-GB"/>
            <w14:ligatures w14:val="standardContextual"/>
          </w:rPr>
          <w:tab/>
        </w:r>
        <w:r w:rsidRPr="00E13F53">
          <w:rPr>
            <w:rStyle w:val="Hyperlink"/>
            <w:noProof/>
          </w:rPr>
          <w:t>Recovery of Unpaid Financial Penalties</w:t>
        </w:r>
        <w:r>
          <w:rPr>
            <w:noProof/>
            <w:webHidden/>
          </w:rPr>
          <w:tab/>
        </w:r>
        <w:r>
          <w:rPr>
            <w:noProof/>
            <w:webHidden/>
          </w:rPr>
          <w:fldChar w:fldCharType="begin"/>
        </w:r>
        <w:r>
          <w:rPr>
            <w:noProof/>
            <w:webHidden/>
          </w:rPr>
          <w:instrText xml:space="preserve"> PAGEREF _Toc228375957 \h </w:instrText>
        </w:r>
        <w:r>
          <w:rPr>
            <w:noProof/>
            <w:webHidden/>
          </w:rPr>
        </w:r>
        <w:r>
          <w:rPr>
            <w:noProof/>
            <w:webHidden/>
          </w:rPr>
          <w:fldChar w:fldCharType="separate"/>
        </w:r>
        <w:r>
          <w:rPr>
            <w:noProof/>
            <w:webHidden/>
          </w:rPr>
          <w:t>16</w:t>
        </w:r>
        <w:r>
          <w:rPr>
            <w:noProof/>
            <w:webHidden/>
          </w:rPr>
          <w:fldChar w:fldCharType="end"/>
        </w:r>
      </w:hyperlink>
    </w:p>
    <w:p w14:paraId="7D5F168F" w14:textId="6041363F" w:rsidR="00D44372" w:rsidRDefault="00D44372">
      <w:pPr>
        <w:pStyle w:val="TOC1"/>
        <w:tabs>
          <w:tab w:val="right" w:leader="dot" w:pos="9629"/>
        </w:tabs>
        <w:rPr>
          <w:rFonts w:asciiTheme="minorHAnsi" w:eastAsiaTheme="minorEastAsia" w:hAnsiTheme="minorHAnsi" w:cstheme="minorBidi"/>
          <w:b w:val="0"/>
          <w:noProof/>
          <w:kern w:val="2"/>
          <w:lang w:eastAsia="en-GB"/>
          <w14:ligatures w14:val="standardContextual"/>
        </w:rPr>
      </w:pPr>
      <w:hyperlink w:anchor="_Toc228375958" w:history="1">
        <w:r w:rsidRPr="00E13F53">
          <w:rPr>
            <w:rStyle w:val="Hyperlink"/>
            <w:noProof/>
          </w:rPr>
          <w:t>5</w:t>
        </w:r>
        <w:r>
          <w:rPr>
            <w:rFonts w:asciiTheme="minorHAnsi" w:eastAsiaTheme="minorEastAsia" w:hAnsiTheme="minorHAnsi" w:cstheme="minorBidi"/>
            <w:b w:val="0"/>
            <w:noProof/>
            <w:kern w:val="2"/>
            <w:lang w:eastAsia="en-GB"/>
            <w14:ligatures w14:val="standardContextual"/>
          </w:rPr>
          <w:tab/>
        </w:r>
        <w:r w:rsidRPr="00E13F53">
          <w:rPr>
            <w:rStyle w:val="Hyperlink"/>
            <w:noProof/>
          </w:rPr>
          <w:t>Financial Penalties – Principles and Methodology</w:t>
        </w:r>
        <w:r>
          <w:rPr>
            <w:noProof/>
            <w:webHidden/>
          </w:rPr>
          <w:tab/>
        </w:r>
        <w:r>
          <w:rPr>
            <w:noProof/>
            <w:webHidden/>
          </w:rPr>
          <w:fldChar w:fldCharType="begin"/>
        </w:r>
        <w:r>
          <w:rPr>
            <w:noProof/>
            <w:webHidden/>
          </w:rPr>
          <w:instrText xml:space="preserve"> PAGEREF _Toc228375958 \h </w:instrText>
        </w:r>
        <w:r>
          <w:rPr>
            <w:noProof/>
            <w:webHidden/>
          </w:rPr>
        </w:r>
        <w:r>
          <w:rPr>
            <w:noProof/>
            <w:webHidden/>
          </w:rPr>
          <w:fldChar w:fldCharType="separate"/>
        </w:r>
        <w:r>
          <w:rPr>
            <w:noProof/>
            <w:webHidden/>
          </w:rPr>
          <w:t>17</w:t>
        </w:r>
        <w:r>
          <w:rPr>
            <w:noProof/>
            <w:webHidden/>
          </w:rPr>
          <w:fldChar w:fldCharType="end"/>
        </w:r>
      </w:hyperlink>
    </w:p>
    <w:p w14:paraId="43F16110" w14:textId="461D98E9" w:rsidR="00D44372" w:rsidRDefault="00D44372">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8375959" w:history="1">
        <w:r w:rsidRPr="00E13F53">
          <w:rPr>
            <w:rStyle w:val="Hyperlink"/>
            <w:noProof/>
          </w:rPr>
          <w:t>5.1</w:t>
        </w:r>
        <w:r>
          <w:rPr>
            <w:rFonts w:asciiTheme="minorHAnsi" w:eastAsiaTheme="minorEastAsia" w:hAnsiTheme="minorHAnsi" w:cstheme="minorBidi"/>
            <w:noProof/>
            <w:kern w:val="2"/>
            <w:lang w:eastAsia="en-GB"/>
            <w14:ligatures w14:val="standardContextual"/>
          </w:rPr>
          <w:tab/>
        </w:r>
        <w:r w:rsidRPr="00E13F53">
          <w:rPr>
            <w:rStyle w:val="Hyperlink"/>
            <w:noProof/>
          </w:rPr>
          <w:t>Guidance</w:t>
        </w:r>
        <w:r>
          <w:rPr>
            <w:noProof/>
            <w:webHidden/>
          </w:rPr>
          <w:tab/>
        </w:r>
        <w:r>
          <w:rPr>
            <w:noProof/>
            <w:webHidden/>
          </w:rPr>
          <w:fldChar w:fldCharType="begin"/>
        </w:r>
        <w:r>
          <w:rPr>
            <w:noProof/>
            <w:webHidden/>
          </w:rPr>
          <w:instrText xml:space="preserve"> PAGEREF _Toc228375959 \h </w:instrText>
        </w:r>
        <w:r>
          <w:rPr>
            <w:noProof/>
            <w:webHidden/>
          </w:rPr>
        </w:r>
        <w:r>
          <w:rPr>
            <w:noProof/>
            <w:webHidden/>
          </w:rPr>
          <w:fldChar w:fldCharType="separate"/>
        </w:r>
        <w:r>
          <w:rPr>
            <w:noProof/>
            <w:webHidden/>
          </w:rPr>
          <w:t>17</w:t>
        </w:r>
        <w:r>
          <w:rPr>
            <w:noProof/>
            <w:webHidden/>
          </w:rPr>
          <w:fldChar w:fldCharType="end"/>
        </w:r>
      </w:hyperlink>
    </w:p>
    <w:p w14:paraId="1E25790F" w14:textId="61C969EC" w:rsidR="00D44372" w:rsidRDefault="00D44372">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8375960" w:history="1">
        <w:r w:rsidRPr="00E13F53">
          <w:rPr>
            <w:rStyle w:val="Hyperlink"/>
            <w:noProof/>
          </w:rPr>
          <w:t>5.2</w:t>
        </w:r>
        <w:r>
          <w:rPr>
            <w:rFonts w:asciiTheme="minorHAnsi" w:eastAsiaTheme="minorEastAsia" w:hAnsiTheme="minorHAnsi" w:cstheme="minorBidi"/>
            <w:noProof/>
            <w:kern w:val="2"/>
            <w:lang w:eastAsia="en-GB"/>
            <w14:ligatures w14:val="standardContextual"/>
          </w:rPr>
          <w:tab/>
        </w:r>
        <w:r w:rsidRPr="00E13F53">
          <w:rPr>
            <w:rStyle w:val="Hyperlink"/>
            <w:noProof/>
          </w:rPr>
          <w:t>Determining the offence category and culpability</w:t>
        </w:r>
        <w:r>
          <w:rPr>
            <w:noProof/>
            <w:webHidden/>
          </w:rPr>
          <w:tab/>
        </w:r>
        <w:r>
          <w:rPr>
            <w:noProof/>
            <w:webHidden/>
          </w:rPr>
          <w:fldChar w:fldCharType="begin"/>
        </w:r>
        <w:r>
          <w:rPr>
            <w:noProof/>
            <w:webHidden/>
          </w:rPr>
          <w:instrText xml:space="preserve"> PAGEREF _Toc228375960 \h </w:instrText>
        </w:r>
        <w:r>
          <w:rPr>
            <w:noProof/>
            <w:webHidden/>
          </w:rPr>
        </w:r>
        <w:r>
          <w:rPr>
            <w:noProof/>
            <w:webHidden/>
          </w:rPr>
          <w:fldChar w:fldCharType="separate"/>
        </w:r>
        <w:r>
          <w:rPr>
            <w:noProof/>
            <w:webHidden/>
          </w:rPr>
          <w:t>17</w:t>
        </w:r>
        <w:r>
          <w:rPr>
            <w:noProof/>
            <w:webHidden/>
          </w:rPr>
          <w:fldChar w:fldCharType="end"/>
        </w:r>
      </w:hyperlink>
    </w:p>
    <w:p w14:paraId="1EA1EA8D" w14:textId="786D178C" w:rsidR="00D44372" w:rsidRDefault="00D44372">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8375961" w:history="1">
        <w:r w:rsidRPr="00E13F53">
          <w:rPr>
            <w:rStyle w:val="Hyperlink"/>
            <w:noProof/>
          </w:rPr>
          <w:t>5.3</w:t>
        </w:r>
        <w:r>
          <w:rPr>
            <w:rFonts w:asciiTheme="minorHAnsi" w:eastAsiaTheme="minorEastAsia" w:hAnsiTheme="minorHAnsi" w:cstheme="minorBidi"/>
            <w:noProof/>
            <w:kern w:val="2"/>
            <w:lang w:eastAsia="en-GB"/>
            <w14:ligatures w14:val="standardContextual"/>
          </w:rPr>
          <w:tab/>
        </w:r>
        <w:r w:rsidRPr="00E13F53">
          <w:rPr>
            <w:rStyle w:val="Hyperlink"/>
            <w:noProof/>
          </w:rPr>
          <w:t>Determining the level of severity</w:t>
        </w:r>
        <w:r>
          <w:rPr>
            <w:noProof/>
            <w:webHidden/>
          </w:rPr>
          <w:tab/>
        </w:r>
        <w:r>
          <w:rPr>
            <w:noProof/>
            <w:webHidden/>
          </w:rPr>
          <w:fldChar w:fldCharType="begin"/>
        </w:r>
        <w:r>
          <w:rPr>
            <w:noProof/>
            <w:webHidden/>
          </w:rPr>
          <w:instrText xml:space="preserve"> PAGEREF _Toc228375961 \h </w:instrText>
        </w:r>
        <w:r>
          <w:rPr>
            <w:noProof/>
            <w:webHidden/>
          </w:rPr>
        </w:r>
        <w:r>
          <w:rPr>
            <w:noProof/>
            <w:webHidden/>
          </w:rPr>
          <w:fldChar w:fldCharType="separate"/>
        </w:r>
        <w:r>
          <w:rPr>
            <w:noProof/>
            <w:webHidden/>
          </w:rPr>
          <w:t>18</w:t>
        </w:r>
        <w:r>
          <w:rPr>
            <w:noProof/>
            <w:webHidden/>
          </w:rPr>
          <w:fldChar w:fldCharType="end"/>
        </w:r>
      </w:hyperlink>
    </w:p>
    <w:p w14:paraId="44AFDC3E" w14:textId="434E29EC" w:rsidR="00D44372" w:rsidRDefault="00D44372">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8375962" w:history="1">
        <w:r w:rsidRPr="00E13F53">
          <w:rPr>
            <w:rStyle w:val="Hyperlink"/>
            <w:noProof/>
          </w:rPr>
          <w:t>5.4</w:t>
        </w:r>
        <w:r>
          <w:rPr>
            <w:rFonts w:asciiTheme="minorHAnsi" w:eastAsiaTheme="minorEastAsia" w:hAnsiTheme="minorHAnsi" w:cstheme="minorBidi"/>
            <w:noProof/>
            <w:kern w:val="2"/>
            <w:lang w:eastAsia="en-GB"/>
            <w14:ligatures w14:val="standardContextual"/>
          </w:rPr>
          <w:tab/>
        </w:r>
        <w:r w:rsidRPr="00E13F53">
          <w:rPr>
            <w:rStyle w:val="Hyperlink"/>
            <w:noProof/>
          </w:rPr>
          <w:t>Determining the level of Fine</w:t>
        </w:r>
        <w:r>
          <w:rPr>
            <w:noProof/>
            <w:webHidden/>
          </w:rPr>
          <w:tab/>
        </w:r>
        <w:r>
          <w:rPr>
            <w:noProof/>
            <w:webHidden/>
          </w:rPr>
          <w:fldChar w:fldCharType="begin"/>
        </w:r>
        <w:r>
          <w:rPr>
            <w:noProof/>
            <w:webHidden/>
          </w:rPr>
          <w:instrText xml:space="preserve"> PAGEREF _Toc228375962 \h </w:instrText>
        </w:r>
        <w:r>
          <w:rPr>
            <w:noProof/>
            <w:webHidden/>
          </w:rPr>
        </w:r>
        <w:r>
          <w:rPr>
            <w:noProof/>
            <w:webHidden/>
          </w:rPr>
          <w:fldChar w:fldCharType="separate"/>
        </w:r>
        <w:r>
          <w:rPr>
            <w:noProof/>
            <w:webHidden/>
          </w:rPr>
          <w:t>18</w:t>
        </w:r>
        <w:r>
          <w:rPr>
            <w:noProof/>
            <w:webHidden/>
          </w:rPr>
          <w:fldChar w:fldCharType="end"/>
        </w:r>
      </w:hyperlink>
    </w:p>
    <w:p w14:paraId="29A11921" w14:textId="4497060D" w:rsidR="00D44372" w:rsidRDefault="00D44372">
      <w:pPr>
        <w:pStyle w:val="TOC1"/>
        <w:tabs>
          <w:tab w:val="right" w:leader="dot" w:pos="9629"/>
        </w:tabs>
        <w:rPr>
          <w:rFonts w:asciiTheme="minorHAnsi" w:eastAsiaTheme="minorEastAsia" w:hAnsiTheme="minorHAnsi" w:cstheme="minorBidi"/>
          <w:b w:val="0"/>
          <w:noProof/>
          <w:kern w:val="2"/>
          <w:lang w:eastAsia="en-GB"/>
          <w14:ligatures w14:val="standardContextual"/>
        </w:rPr>
      </w:pPr>
      <w:hyperlink w:anchor="_Toc228375963" w:history="1">
        <w:r w:rsidRPr="00E13F53">
          <w:rPr>
            <w:rStyle w:val="Hyperlink"/>
            <w:noProof/>
          </w:rPr>
          <w:t>6</w:t>
        </w:r>
        <w:r>
          <w:rPr>
            <w:rFonts w:asciiTheme="minorHAnsi" w:eastAsiaTheme="minorEastAsia" w:hAnsiTheme="minorHAnsi" w:cstheme="minorBidi"/>
            <w:b w:val="0"/>
            <w:noProof/>
            <w:kern w:val="2"/>
            <w:lang w:eastAsia="en-GB"/>
            <w14:ligatures w14:val="standardContextual"/>
          </w:rPr>
          <w:tab/>
        </w:r>
        <w:r w:rsidRPr="00E13F53">
          <w:rPr>
            <w:rStyle w:val="Hyperlink"/>
            <w:noProof/>
          </w:rPr>
          <w:t>Exceptions to the Policy</w:t>
        </w:r>
        <w:r>
          <w:rPr>
            <w:noProof/>
            <w:webHidden/>
          </w:rPr>
          <w:tab/>
        </w:r>
        <w:r>
          <w:rPr>
            <w:noProof/>
            <w:webHidden/>
          </w:rPr>
          <w:fldChar w:fldCharType="begin"/>
        </w:r>
        <w:r>
          <w:rPr>
            <w:noProof/>
            <w:webHidden/>
          </w:rPr>
          <w:instrText xml:space="preserve"> PAGEREF _Toc228375963 \h </w:instrText>
        </w:r>
        <w:r>
          <w:rPr>
            <w:noProof/>
            <w:webHidden/>
          </w:rPr>
        </w:r>
        <w:r>
          <w:rPr>
            <w:noProof/>
            <w:webHidden/>
          </w:rPr>
          <w:fldChar w:fldCharType="separate"/>
        </w:r>
        <w:r>
          <w:rPr>
            <w:noProof/>
            <w:webHidden/>
          </w:rPr>
          <w:t>23</w:t>
        </w:r>
        <w:r>
          <w:rPr>
            <w:noProof/>
            <w:webHidden/>
          </w:rPr>
          <w:fldChar w:fldCharType="end"/>
        </w:r>
      </w:hyperlink>
    </w:p>
    <w:p w14:paraId="244DE254" w14:textId="77FCBEC3" w:rsidR="00D44372" w:rsidRDefault="00D44372">
      <w:pPr>
        <w:pStyle w:val="TOC1"/>
        <w:tabs>
          <w:tab w:val="right" w:leader="dot" w:pos="9629"/>
        </w:tabs>
        <w:rPr>
          <w:rFonts w:asciiTheme="minorHAnsi" w:eastAsiaTheme="minorEastAsia" w:hAnsiTheme="minorHAnsi" w:cstheme="minorBidi"/>
          <w:b w:val="0"/>
          <w:noProof/>
          <w:kern w:val="2"/>
          <w:lang w:eastAsia="en-GB"/>
          <w14:ligatures w14:val="standardContextual"/>
        </w:rPr>
      </w:pPr>
      <w:hyperlink w:anchor="_Toc228375964" w:history="1">
        <w:r w:rsidRPr="00E13F53">
          <w:rPr>
            <w:rStyle w:val="Hyperlink"/>
            <w:noProof/>
          </w:rPr>
          <w:t>APPENDIX 1 Maximum Financial Penalty Amounts</w:t>
        </w:r>
        <w:r>
          <w:rPr>
            <w:noProof/>
            <w:webHidden/>
          </w:rPr>
          <w:tab/>
        </w:r>
        <w:r>
          <w:rPr>
            <w:noProof/>
            <w:webHidden/>
          </w:rPr>
          <w:fldChar w:fldCharType="begin"/>
        </w:r>
        <w:r>
          <w:rPr>
            <w:noProof/>
            <w:webHidden/>
          </w:rPr>
          <w:instrText xml:space="preserve"> PAGEREF _Toc228375964 \h </w:instrText>
        </w:r>
        <w:r>
          <w:rPr>
            <w:noProof/>
            <w:webHidden/>
          </w:rPr>
        </w:r>
        <w:r>
          <w:rPr>
            <w:noProof/>
            <w:webHidden/>
          </w:rPr>
          <w:fldChar w:fldCharType="separate"/>
        </w:r>
        <w:r>
          <w:rPr>
            <w:noProof/>
            <w:webHidden/>
          </w:rPr>
          <w:t>24</w:t>
        </w:r>
        <w:r>
          <w:rPr>
            <w:noProof/>
            <w:webHidden/>
          </w:rPr>
          <w:fldChar w:fldCharType="end"/>
        </w:r>
      </w:hyperlink>
    </w:p>
    <w:p w14:paraId="5AF0741A" w14:textId="4DD197E6" w:rsidR="00D44372" w:rsidRDefault="00D44372">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8375965" w:history="1">
        <w:r w:rsidRPr="00E13F53">
          <w:rPr>
            <w:rStyle w:val="Hyperlink"/>
            <w:noProof/>
            <w:lang w:eastAsia="en-GB"/>
          </w:rPr>
          <w:t>Renters’ Right Act 2025</w:t>
        </w:r>
        <w:r>
          <w:rPr>
            <w:noProof/>
            <w:webHidden/>
          </w:rPr>
          <w:tab/>
        </w:r>
        <w:r>
          <w:rPr>
            <w:noProof/>
            <w:webHidden/>
          </w:rPr>
          <w:fldChar w:fldCharType="begin"/>
        </w:r>
        <w:r>
          <w:rPr>
            <w:noProof/>
            <w:webHidden/>
          </w:rPr>
          <w:instrText xml:space="preserve"> PAGEREF _Toc228375965 \h </w:instrText>
        </w:r>
        <w:r>
          <w:rPr>
            <w:noProof/>
            <w:webHidden/>
          </w:rPr>
        </w:r>
        <w:r>
          <w:rPr>
            <w:noProof/>
            <w:webHidden/>
          </w:rPr>
          <w:fldChar w:fldCharType="separate"/>
        </w:r>
        <w:r>
          <w:rPr>
            <w:noProof/>
            <w:webHidden/>
          </w:rPr>
          <w:t>24</w:t>
        </w:r>
        <w:r>
          <w:rPr>
            <w:noProof/>
            <w:webHidden/>
          </w:rPr>
          <w:fldChar w:fldCharType="end"/>
        </w:r>
      </w:hyperlink>
    </w:p>
    <w:p w14:paraId="55A2DD24" w14:textId="7F405D2A" w:rsidR="00D44372" w:rsidRDefault="00D44372">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8375966" w:history="1">
        <w:r w:rsidRPr="00E13F53">
          <w:rPr>
            <w:rStyle w:val="Hyperlink"/>
            <w:noProof/>
          </w:rPr>
          <w:t>Financial penalties</w:t>
        </w:r>
        <w:r>
          <w:rPr>
            <w:noProof/>
            <w:webHidden/>
          </w:rPr>
          <w:tab/>
        </w:r>
        <w:r>
          <w:rPr>
            <w:noProof/>
            <w:webHidden/>
          </w:rPr>
          <w:fldChar w:fldCharType="begin"/>
        </w:r>
        <w:r>
          <w:rPr>
            <w:noProof/>
            <w:webHidden/>
          </w:rPr>
          <w:instrText xml:space="preserve"> PAGEREF _Toc228375966 \h </w:instrText>
        </w:r>
        <w:r>
          <w:rPr>
            <w:noProof/>
            <w:webHidden/>
          </w:rPr>
        </w:r>
        <w:r>
          <w:rPr>
            <w:noProof/>
            <w:webHidden/>
          </w:rPr>
          <w:fldChar w:fldCharType="separate"/>
        </w:r>
        <w:r>
          <w:rPr>
            <w:noProof/>
            <w:webHidden/>
          </w:rPr>
          <w:t>24</w:t>
        </w:r>
        <w:r>
          <w:rPr>
            <w:noProof/>
            <w:webHidden/>
          </w:rPr>
          <w:fldChar w:fldCharType="end"/>
        </w:r>
      </w:hyperlink>
    </w:p>
    <w:p w14:paraId="640A83CB" w14:textId="1D4CDD72" w:rsidR="00D44372" w:rsidRDefault="00D44372">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8375967" w:history="1">
        <w:r w:rsidRPr="00E13F53">
          <w:rPr>
            <w:rStyle w:val="Hyperlink"/>
            <w:noProof/>
          </w:rPr>
          <w:t>Smoke and carbon monoxide alarms</w:t>
        </w:r>
        <w:r>
          <w:rPr>
            <w:noProof/>
            <w:webHidden/>
          </w:rPr>
          <w:tab/>
        </w:r>
        <w:r>
          <w:rPr>
            <w:noProof/>
            <w:webHidden/>
          </w:rPr>
          <w:fldChar w:fldCharType="begin"/>
        </w:r>
        <w:r>
          <w:rPr>
            <w:noProof/>
            <w:webHidden/>
          </w:rPr>
          <w:instrText xml:space="preserve"> PAGEREF _Toc228375967 \h </w:instrText>
        </w:r>
        <w:r>
          <w:rPr>
            <w:noProof/>
            <w:webHidden/>
          </w:rPr>
        </w:r>
        <w:r>
          <w:rPr>
            <w:noProof/>
            <w:webHidden/>
          </w:rPr>
          <w:fldChar w:fldCharType="separate"/>
        </w:r>
        <w:r>
          <w:rPr>
            <w:noProof/>
            <w:webHidden/>
          </w:rPr>
          <w:t>24</w:t>
        </w:r>
        <w:r>
          <w:rPr>
            <w:noProof/>
            <w:webHidden/>
          </w:rPr>
          <w:fldChar w:fldCharType="end"/>
        </w:r>
      </w:hyperlink>
    </w:p>
    <w:p w14:paraId="026EFB29" w14:textId="08C514DE" w:rsidR="00D44372" w:rsidRDefault="00D44372">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8375968" w:history="1">
        <w:r w:rsidRPr="00E13F53">
          <w:rPr>
            <w:rStyle w:val="Hyperlink"/>
            <w:noProof/>
          </w:rPr>
          <w:t>Energy Efficiency Regulations</w:t>
        </w:r>
        <w:r>
          <w:rPr>
            <w:noProof/>
            <w:webHidden/>
          </w:rPr>
          <w:tab/>
        </w:r>
        <w:r>
          <w:rPr>
            <w:noProof/>
            <w:webHidden/>
          </w:rPr>
          <w:fldChar w:fldCharType="begin"/>
        </w:r>
        <w:r>
          <w:rPr>
            <w:noProof/>
            <w:webHidden/>
          </w:rPr>
          <w:instrText xml:space="preserve"> PAGEREF _Toc228375968 \h </w:instrText>
        </w:r>
        <w:r>
          <w:rPr>
            <w:noProof/>
            <w:webHidden/>
          </w:rPr>
        </w:r>
        <w:r>
          <w:rPr>
            <w:noProof/>
            <w:webHidden/>
          </w:rPr>
          <w:fldChar w:fldCharType="separate"/>
        </w:r>
        <w:r>
          <w:rPr>
            <w:noProof/>
            <w:webHidden/>
          </w:rPr>
          <w:t>24</w:t>
        </w:r>
        <w:r>
          <w:rPr>
            <w:noProof/>
            <w:webHidden/>
          </w:rPr>
          <w:fldChar w:fldCharType="end"/>
        </w:r>
      </w:hyperlink>
    </w:p>
    <w:p w14:paraId="76A60365" w14:textId="1D9F3795" w:rsidR="00D44372" w:rsidRDefault="00D44372">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8375969" w:history="1">
        <w:r w:rsidRPr="00E13F53">
          <w:rPr>
            <w:rStyle w:val="Hyperlink"/>
            <w:noProof/>
          </w:rPr>
          <w:t>Works with or without agreement (work in default)</w:t>
        </w:r>
        <w:r>
          <w:rPr>
            <w:noProof/>
            <w:webHidden/>
          </w:rPr>
          <w:tab/>
        </w:r>
        <w:r>
          <w:rPr>
            <w:noProof/>
            <w:webHidden/>
          </w:rPr>
          <w:fldChar w:fldCharType="begin"/>
        </w:r>
        <w:r>
          <w:rPr>
            <w:noProof/>
            <w:webHidden/>
          </w:rPr>
          <w:instrText xml:space="preserve"> PAGEREF _Toc228375969 \h </w:instrText>
        </w:r>
        <w:r>
          <w:rPr>
            <w:noProof/>
            <w:webHidden/>
          </w:rPr>
        </w:r>
        <w:r>
          <w:rPr>
            <w:noProof/>
            <w:webHidden/>
          </w:rPr>
          <w:fldChar w:fldCharType="separate"/>
        </w:r>
        <w:r>
          <w:rPr>
            <w:noProof/>
            <w:webHidden/>
          </w:rPr>
          <w:t>25</w:t>
        </w:r>
        <w:r>
          <w:rPr>
            <w:noProof/>
            <w:webHidden/>
          </w:rPr>
          <w:fldChar w:fldCharType="end"/>
        </w:r>
      </w:hyperlink>
    </w:p>
    <w:p w14:paraId="59DD400A" w14:textId="02145402" w:rsidR="00D44372" w:rsidRDefault="00D44372">
      <w:pPr>
        <w:pStyle w:val="TOC1"/>
        <w:tabs>
          <w:tab w:val="right" w:leader="dot" w:pos="9629"/>
        </w:tabs>
        <w:rPr>
          <w:rFonts w:asciiTheme="minorHAnsi" w:eastAsiaTheme="minorEastAsia" w:hAnsiTheme="minorHAnsi" w:cstheme="minorBidi"/>
          <w:b w:val="0"/>
          <w:noProof/>
          <w:kern w:val="2"/>
          <w:lang w:eastAsia="en-GB"/>
          <w14:ligatures w14:val="standardContextual"/>
        </w:rPr>
      </w:pPr>
      <w:hyperlink w:anchor="_Toc228375970" w:history="1">
        <w:r w:rsidRPr="00E13F53">
          <w:rPr>
            <w:rStyle w:val="Hyperlink"/>
            <w:noProof/>
            <w:lang w:eastAsia="en-GB"/>
          </w:rPr>
          <w:t>APPENDIX 2 Statement of Principles</w:t>
        </w:r>
        <w:r>
          <w:rPr>
            <w:noProof/>
            <w:webHidden/>
          </w:rPr>
          <w:tab/>
        </w:r>
        <w:r>
          <w:rPr>
            <w:noProof/>
            <w:webHidden/>
          </w:rPr>
          <w:fldChar w:fldCharType="begin"/>
        </w:r>
        <w:r>
          <w:rPr>
            <w:noProof/>
            <w:webHidden/>
          </w:rPr>
          <w:instrText xml:space="preserve"> PAGEREF _Toc228375970 \h </w:instrText>
        </w:r>
        <w:r>
          <w:rPr>
            <w:noProof/>
            <w:webHidden/>
          </w:rPr>
        </w:r>
        <w:r>
          <w:rPr>
            <w:noProof/>
            <w:webHidden/>
          </w:rPr>
          <w:fldChar w:fldCharType="separate"/>
        </w:r>
        <w:r>
          <w:rPr>
            <w:noProof/>
            <w:webHidden/>
          </w:rPr>
          <w:t>26</w:t>
        </w:r>
        <w:r>
          <w:rPr>
            <w:noProof/>
            <w:webHidden/>
          </w:rPr>
          <w:fldChar w:fldCharType="end"/>
        </w:r>
      </w:hyperlink>
    </w:p>
    <w:p w14:paraId="17EEA444" w14:textId="2D1AFB30" w:rsidR="00D44372" w:rsidRDefault="00D44372">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8375971" w:history="1">
        <w:r w:rsidRPr="00E13F53">
          <w:rPr>
            <w:rStyle w:val="Hyperlink"/>
            <w:noProof/>
          </w:rPr>
          <w:t>Statement of Principles - The Smoke and Carbon Monoxide Alarm England) Regulations 2015</w:t>
        </w:r>
        <w:r>
          <w:rPr>
            <w:noProof/>
            <w:webHidden/>
          </w:rPr>
          <w:tab/>
        </w:r>
        <w:r>
          <w:rPr>
            <w:noProof/>
            <w:webHidden/>
          </w:rPr>
          <w:fldChar w:fldCharType="begin"/>
        </w:r>
        <w:r>
          <w:rPr>
            <w:noProof/>
            <w:webHidden/>
          </w:rPr>
          <w:instrText xml:space="preserve"> PAGEREF _Toc228375971 \h </w:instrText>
        </w:r>
        <w:r>
          <w:rPr>
            <w:noProof/>
            <w:webHidden/>
          </w:rPr>
        </w:r>
        <w:r>
          <w:rPr>
            <w:noProof/>
            <w:webHidden/>
          </w:rPr>
          <w:fldChar w:fldCharType="separate"/>
        </w:r>
        <w:r>
          <w:rPr>
            <w:noProof/>
            <w:webHidden/>
          </w:rPr>
          <w:t>26</w:t>
        </w:r>
        <w:r>
          <w:rPr>
            <w:noProof/>
            <w:webHidden/>
          </w:rPr>
          <w:fldChar w:fldCharType="end"/>
        </w:r>
      </w:hyperlink>
    </w:p>
    <w:p w14:paraId="57FF5ECF" w14:textId="39207602" w:rsidR="005849A9" w:rsidRPr="00576973" w:rsidRDefault="00621DAA" w:rsidP="00621DAA">
      <w:pPr>
        <w:pStyle w:val="EHRnon-numberedBODY"/>
      </w:pPr>
      <w:r w:rsidRPr="00576973">
        <w:fldChar w:fldCharType="end"/>
      </w:r>
    </w:p>
    <w:p w14:paraId="7AE5008A" w14:textId="77777777" w:rsidR="00302A19" w:rsidRPr="00576973" w:rsidRDefault="00302A19" w:rsidP="00302A19">
      <w:pPr>
        <w:pStyle w:val="EHRBodytext"/>
        <w:ind w:left="595" w:firstLine="0"/>
      </w:pPr>
    </w:p>
    <w:p w14:paraId="3F8785EF" w14:textId="453FD097" w:rsidR="00115091" w:rsidRDefault="00115091">
      <w:pPr>
        <w:rPr>
          <w:rFonts w:ascii="Arial" w:hAnsi="Arial" w:cs="Arial"/>
          <w:sz w:val="24"/>
          <w:szCs w:val="24"/>
        </w:rPr>
      </w:pPr>
      <w:r>
        <w:br w:type="page"/>
      </w:r>
    </w:p>
    <w:p w14:paraId="6ECCF25C" w14:textId="77777777" w:rsidR="00115091" w:rsidRPr="00115091" w:rsidRDefault="00115091" w:rsidP="00115091">
      <w:pPr>
        <w:pStyle w:val="EHRBodytext"/>
        <w:rPr>
          <w:b/>
          <w:bCs/>
        </w:rPr>
      </w:pPr>
      <w:bookmarkStart w:id="0" w:name="_Toc227842195"/>
      <w:r w:rsidRPr="00115091">
        <w:rPr>
          <w:b/>
          <w:bCs/>
        </w:rPr>
        <w:lastRenderedPageBreak/>
        <w:t>Version Control Sheet</w:t>
      </w:r>
      <w:bookmarkEnd w:id="0"/>
    </w:p>
    <w:p w14:paraId="48ABB9E9" w14:textId="77777777" w:rsidR="00115091" w:rsidRPr="00115091" w:rsidRDefault="00115091" w:rsidP="00115091">
      <w:pPr>
        <w:autoSpaceDE w:val="0"/>
        <w:autoSpaceDN w:val="0"/>
        <w:adjustRightInd w:val="0"/>
        <w:spacing w:line="276" w:lineRule="auto"/>
        <w:rPr>
          <w:rFonts w:ascii="Arial" w:eastAsia="Calibri" w:hAnsi="Arial" w:cs="Arial"/>
          <w:b/>
          <w:sz w:val="36"/>
          <w:szCs w:val="36"/>
          <w:lang w:eastAsia="en-GB"/>
        </w:rPr>
      </w:pPr>
      <w:r w:rsidRPr="00115091">
        <w:rPr>
          <w:rFonts w:ascii="Arial" w:eastAsia="Calibri" w:hAnsi="Arial" w:cs="Arial"/>
          <w:i/>
          <w:iCs/>
          <w:color w:val="000000"/>
        </w:rPr>
        <w:t xml:space="preserve">Title: POLICY ON PRIVATE SECTOR HOUSING FEES, CHARGES AND THE USE OF FINANCIAL PENALTIES FOR HOUSING ACT OFFENCES </w:t>
      </w:r>
    </w:p>
    <w:p w14:paraId="7F07F582" w14:textId="77777777" w:rsidR="00115091" w:rsidRPr="00115091" w:rsidRDefault="00115091" w:rsidP="00115091">
      <w:pPr>
        <w:autoSpaceDE w:val="0"/>
        <w:autoSpaceDN w:val="0"/>
        <w:adjustRightInd w:val="0"/>
        <w:rPr>
          <w:rFonts w:ascii="Arial" w:eastAsia="Calibri" w:hAnsi="Arial" w:cs="Arial"/>
          <w:b/>
          <w:bCs/>
          <w:color w:val="000000"/>
        </w:rPr>
      </w:pPr>
    </w:p>
    <w:p w14:paraId="6F628292" w14:textId="77777777" w:rsidR="00115091" w:rsidRPr="00115091" w:rsidRDefault="00115091" w:rsidP="00115091">
      <w:pPr>
        <w:autoSpaceDE w:val="0"/>
        <w:autoSpaceDN w:val="0"/>
        <w:adjustRightInd w:val="0"/>
        <w:rPr>
          <w:rFonts w:ascii="Arial" w:eastAsia="Calibri" w:hAnsi="Arial" w:cs="Arial"/>
          <w:b/>
          <w:bCs/>
          <w:color w:val="000000"/>
        </w:rPr>
      </w:pPr>
      <w:r w:rsidRPr="00115091">
        <w:rPr>
          <w:rFonts w:ascii="Arial" w:eastAsia="Calibri" w:hAnsi="Arial" w:cs="Arial"/>
          <w:i/>
          <w:iCs/>
          <w:color w:val="000000"/>
        </w:rPr>
        <w:t xml:space="preserve">Purpose: </w:t>
      </w:r>
      <w:r w:rsidRPr="00115091">
        <w:rPr>
          <w:rFonts w:ascii="Arial" w:eastAsia="Calibri" w:hAnsi="Arial" w:cs="Arial"/>
          <w:bCs/>
        </w:rPr>
        <w:t xml:space="preserve">The purpose of this policy is to ensure compliance with Regulators’ Code and the principles of good enforcement. It sets out how fees and charges will be calculated and applied, in relation to the Private Sector Housing enforcement functions </w:t>
      </w:r>
      <w:proofErr w:type="gramStart"/>
      <w:r w:rsidRPr="00115091">
        <w:rPr>
          <w:rFonts w:ascii="Arial" w:eastAsia="Calibri" w:hAnsi="Arial" w:cs="Arial"/>
          <w:bCs/>
        </w:rPr>
        <w:t>and also</w:t>
      </w:r>
      <w:proofErr w:type="gramEnd"/>
      <w:r w:rsidRPr="00115091">
        <w:rPr>
          <w:rFonts w:ascii="Arial" w:eastAsia="Calibri" w:hAnsi="Arial" w:cs="Arial"/>
          <w:bCs/>
        </w:rPr>
        <w:t xml:space="preserve"> serves to inform investigating officers and decision-makers of the framework under which the decision to issue civil penalties or charges is made and how they are calculated.  The actual fees and charges for any year will be determined and published separately as and when costs are updated.</w:t>
      </w:r>
    </w:p>
    <w:p w14:paraId="4EA84038" w14:textId="77777777" w:rsidR="00115091" w:rsidRPr="00115091" w:rsidRDefault="00115091" w:rsidP="00115091">
      <w:pPr>
        <w:autoSpaceDE w:val="0"/>
        <w:autoSpaceDN w:val="0"/>
        <w:adjustRightInd w:val="0"/>
        <w:rPr>
          <w:rFonts w:ascii="Arial" w:eastAsia="Calibri" w:hAnsi="Arial" w:cs="Arial"/>
          <w:b/>
          <w:bCs/>
          <w:color w:val="000000"/>
        </w:rPr>
      </w:pPr>
      <w:r w:rsidRPr="00115091">
        <w:rPr>
          <w:rFonts w:ascii="Arial" w:eastAsia="Calibri" w:hAnsi="Arial" w:cs="Arial"/>
          <w:i/>
          <w:iCs/>
          <w:color w:val="000000"/>
        </w:rPr>
        <w:t xml:space="preserve">Owner: </w:t>
      </w:r>
      <w:r w:rsidRPr="00115091">
        <w:rPr>
          <w:rFonts w:ascii="Arial" w:eastAsia="Calibri" w:hAnsi="Arial" w:cs="Arial"/>
          <w:bCs/>
        </w:rPr>
        <w:t>Simon Newcombe, Head of Housing and Health</w:t>
      </w:r>
    </w:p>
    <w:p w14:paraId="27B49423" w14:textId="77777777" w:rsidR="00115091" w:rsidRPr="00115091" w:rsidRDefault="00115091" w:rsidP="00115091">
      <w:pPr>
        <w:autoSpaceDE w:val="0"/>
        <w:autoSpaceDN w:val="0"/>
        <w:adjustRightInd w:val="0"/>
        <w:rPr>
          <w:rFonts w:ascii="Arial" w:eastAsia="Calibri" w:hAnsi="Arial" w:cs="Arial"/>
          <w:bCs/>
          <w:color w:val="0000FF"/>
        </w:rPr>
      </w:pPr>
      <w:r w:rsidRPr="00115091">
        <w:rPr>
          <w:rFonts w:ascii="Arial" w:eastAsia="Calibri" w:hAnsi="Arial" w:cs="Arial"/>
          <w:bCs/>
          <w:color w:val="0000FF"/>
        </w:rPr>
        <w:t>snewcombe@middevon.gov.uk</w:t>
      </w:r>
    </w:p>
    <w:p w14:paraId="55A3DCDA" w14:textId="77777777" w:rsidR="00115091" w:rsidRPr="00115091" w:rsidRDefault="00115091" w:rsidP="00115091">
      <w:pPr>
        <w:autoSpaceDE w:val="0"/>
        <w:autoSpaceDN w:val="0"/>
        <w:adjustRightInd w:val="0"/>
        <w:rPr>
          <w:rFonts w:ascii="Arial" w:eastAsia="Calibri" w:hAnsi="Arial" w:cs="Arial"/>
          <w:bCs/>
          <w:color w:val="0000FF"/>
        </w:rPr>
      </w:pPr>
      <w:r w:rsidRPr="00115091">
        <w:rPr>
          <w:rFonts w:ascii="Arial" w:eastAsia="Calibri" w:hAnsi="Arial" w:cs="Arial"/>
          <w:bCs/>
          <w:color w:val="0000FF"/>
        </w:rPr>
        <w:t>Telephone number 01884 255255</w:t>
      </w:r>
    </w:p>
    <w:p w14:paraId="1A5D35EE" w14:textId="791C3010" w:rsidR="00115091" w:rsidRPr="00115091" w:rsidRDefault="00115091" w:rsidP="00115091">
      <w:pPr>
        <w:autoSpaceDE w:val="0"/>
        <w:autoSpaceDN w:val="0"/>
        <w:adjustRightInd w:val="0"/>
        <w:rPr>
          <w:rFonts w:ascii="Arial" w:eastAsia="Calibri" w:hAnsi="Arial" w:cs="Arial"/>
          <w:b/>
          <w:bCs/>
          <w:color w:val="000000"/>
        </w:rPr>
      </w:pPr>
      <w:r w:rsidRPr="00115091">
        <w:rPr>
          <w:rFonts w:ascii="Arial" w:eastAsia="Calibri" w:hAnsi="Arial" w:cs="Arial"/>
          <w:i/>
          <w:iCs/>
          <w:color w:val="000000"/>
        </w:rPr>
        <w:t xml:space="preserve">Date: </w:t>
      </w:r>
      <w:r w:rsidR="00262591">
        <w:rPr>
          <w:rFonts w:ascii="Arial" w:eastAsia="Calibri" w:hAnsi="Arial" w:cs="Arial"/>
          <w:b/>
          <w:bCs/>
          <w:color w:val="000000"/>
        </w:rPr>
        <w:t>May</w:t>
      </w:r>
      <w:r w:rsidRPr="00115091">
        <w:rPr>
          <w:rFonts w:ascii="Arial" w:eastAsia="Calibri" w:hAnsi="Arial" w:cs="Arial"/>
          <w:b/>
          <w:bCs/>
          <w:color w:val="000000"/>
        </w:rPr>
        <w:t xml:space="preserve"> 2026</w:t>
      </w:r>
    </w:p>
    <w:p w14:paraId="3C1BDE1B" w14:textId="77777777" w:rsidR="00115091" w:rsidRPr="00115091" w:rsidRDefault="00115091" w:rsidP="00115091">
      <w:pPr>
        <w:autoSpaceDE w:val="0"/>
        <w:autoSpaceDN w:val="0"/>
        <w:adjustRightInd w:val="0"/>
        <w:rPr>
          <w:rFonts w:ascii="Arial" w:eastAsia="Calibri" w:hAnsi="Arial" w:cs="Arial"/>
          <w:b/>
          <w:bCs/>
          <w:color w:val="000000"/>
        </w:rPr>
      </w:pPr>
      <w:r w:rsidRPr="00115091">
        <w:rPr>
          <w:rFonts w:ascii="Arial" w:eastAsia="Calibri" w:hAnsi="Arial" w:cs="Arial"/>
          <w:i/>
          <w:iCs/>
          <w:color w:val="000000"/>
        </w:rPr>
        <w:t>Version Number: 4.2</w:t>
      </w:r>
    </w:p>
    <w:p w14:paraId="561FF2BB" w14:textId="77777777" w:rsidR="00115091" w:rsidRPr="00115091" w:rsidRDefault="00115091" w:rsidP="00115091">
      <w:pPr>
        <w:autoSpaceDE w:val="0"/>
        <w:autoSpaceDN w:val="0"/>
        <w:adjustRightInd w:val="0"/>
        <w:rPr>
          <w:rFonts w:ascii="Arial" w:eastAsia="Calibri" w:hAnsi="Arial" w:cs="Arial"/>
          <w:i/>
          <w:iCs/>
          <w:color w:val="000000"/>
        </w:rPr>
      </w:pPr>
      <w:r w:rsidRPr="00115091">
        <w:rPr>
          <w:rFonts w:ascii="Arial" w:eastAsia="Calibri" w:hAnsi="Arial" w:cs="Arial"/>
          <w:i/>
          <w:iCs/>
          <w:color w:val="000000"/>
        </w:rPr>
        <w:t xml:space="preserve">Status: Adopted </w:t>
      </w:r>
    </w:p>
    <w:p w14:paraId="4D01E0EB" w14:textId="058F7CAB" w:rsidR="00115091" w:rsidRPr="00115091" w:rsidRDefault="00115091" w:rsidP="00115091">
      <w:pPr>
        <w:autoSpaceDE w:val="0"/>
        <w:autoSpaceDN w:val="0"/>
        <w:adjustRightInd w:val="0"/>
        <w:rPr>
          <w:rFonts w:ascii="Arial" w:eastAsia="Calibri" w:hAnsi="Arial" w:cs="Arial"/>
          <w:b/>
          <w:bCs/>
          <w:color w:val="000000"/>
        </w:rPr>
      </w:pPr>
      <w:r w:rsidRPr="00115091">
        <w:rPr>
          <w:rFonts w:ascii="Arial" w:eastAsia="Calibri" w:hAnsi="Arial" w:cs="Arial"/>
          <w:i/>
          <w:iCs/>
          <w:color w:val="000000"/>
        </w:rPr>
        <w:t xml:space="preserve">Review Frequency: </w:t>
      </w:r>
      <w:r w:rsidRPr="00115091">
        <w:rPr>
          <w:rFonts w:ascii="Arial" w:eastAsia="Calibri" w:hAnsi="Arial" w:cs="Arial"/>
          <w:b/>
          <w:iCs/>
          <w:color w:val="000000"/>
        </w:rPr>
        <w:t xml:space="preserve">Every </w:t>
      </w:r>
      <w:r w:rsidR="00262591">
        <w:rPr>
          <w:rFonts w:ascii="Arial" w:eastAsia="Calibri" w:hAnsi="Arial" w:cs="Arial"/>
          <w:b/>
          <w:iCs/>
          <w:color w:val="000000"/>
        </w:rPr>
        <w:t>3</w:t>
      </w:r>
      <w:r w:rsidRPr="00115091">
        <w:rPr>
          <w:rFonts w:ascii="Arial" w:eastAsia="Calibri" w:hAnsi="Arial" w:cs="Arial"/>
          <w:b/>
          <w:iCs/>
          <w:color w:val="000000"/>
        </w:rPr>
        <w:t xml:space="preserve"> years or sooner if required</w:t>
      </w:r>
    </w:p>
    <w:p w14:paraId="1A50EF1B" w14:textId="5403D58A" w:rsidR="00115091" w:rsidRPr="00115091" w:rsidRDefault="00115091" w:rsidP="00115091">
      <w:pPr>
        <w:autoSpaceDE w:val="0"/>
        <w:autoSpaceDN w:val="0"/>
        <w:adjustRightInd w:val="0"/>
        <w:rPr>
          <w:rFonts w:ascii="Arial" w:eastAsia="Calibri" w:hAnsi="Arial" w:cs="Arial"/>
          <w:b/>
          <w:bCs/>
          <w:color w:val="000000"/>
        </w:rPr>
      </w:pPr>
      <w:r w:rsidRPr="00115091">
        <w:rPr>
          <w:rFonts w:ascii="Arial" w:eastAsia="Calibri" w:hAnsi="Arial" w:cs="Arial"/>
          <w:i/>
          <w:iCs/>
          <w:color w:val="000000"/>
        </w:rPr>
        <w:t xml:space="preserve">Next review date: </w:t>
      </w:r>
      <w:r w:rsidRPr="00115091">
        <w:rPr>
          <w:rFonts w:ascii="Arial" w:eastAsia="Calibri" w:hAnsi="Arial" w:cs="Arial"/>
          <w:b/>
          <w:bCs/>
          <w:color w:val="000000"/>
        </w:rPr>
        <w:t xml:space="preserve"> </w:t>
      </w:r>
      <w:r w:rsidR="00262591">
        <w:rPr>
          <w:rFonts w:ascii="Arial" w:eastAsia="Calibri" w:hAnsi="Arial" w:cs="Arial"/>
          <w:b/>
          <w:bCs/>
          <w:color w:val="000000"/>
        </w:rPr>
        <w:t>May 2029</w:t>
      </w:r>
    </w:p>
    <w:p w14:paraId="41EC0B17" w14:textId="77777777" w:rsidR="00115091" w:rsidRDefault="00115091" w:rsidP="00115091">
      <w:pPr>
        <w:autoSpaceDE w:val="0"/>
        <w:autoSpaceDN w:val="0"/>
        <w:adjustRightInd w:val="0"/>
        <w:rPr>
          <w:rFonts w:ascii="Arial" w:eastAsia="Calibri" w:hAnsi="Arial" w:cs="Arial"/>
          <w:b/>
          <w:bCs/>
          <w:color w:val="000000"/>
        </w:rPr>
      </w:pPr>
    </w:p>
    <w:p w14:paraId="2A0C8F18" w14:textId="320D43BA" w:rsidR="00115091" w:rsidRPr="00115091" w:rsidRDefault="00115091" w:rsidP="00115091">
      <w:pPr>
        <w:autoSpaceDE w:val="0"/>
        <w:autoSpaceDN w:val="0"/>
        <w:adjustRightInd w:val="0"/>
        <w:rPr>
          <w:rFonts w:ascii="Arial" w:eastAsia="Calibri" w:hAnsi="Arial" w:cs="Arial"/>
          <w:b/>
          <w:bCs/>
          <w:color w:val="000000"/>
        </w:rPr>
      </w:pPr>
      <w:r w:rsidRPr="00115091">
        <w:rPr>
          <w:rFonts w:ascii="Arial" w:eastAsia="Calibri" w:hAnsi="Arial" w:cs="Arial"/>
          <w:b/>
          <w:bCs/>
          <w:color w:val="000000"/>
        </w:rPr>
        <w:t>Document History</w:t>
      </w:r>
    </w:p>
    <w:p w14:paraId="3EDA5E97" w14:textId="77777777" w:rsidR="00115091" w:rsidRPr="00115091" w:rsidRDefault="00115091" w:rsidP="00115091">
      <w:pPr>
        <w:autoSpaceDE w:val="0"/>
        <w:autoSpaceDN w:val="0"/>
        <w:adjustRightInd w:val="0"/>
        <w:rPr>
          <w:rFonts w:ascii="Arial" w:eastAsia="Calibri" w:hAnsi="Arial" w:cs="Arial"/>
          <w:color w:val="000000"/>
        </w:rPr>
      </w:pPr>
      <w:r w:rsidRPr="00115091">
        <w:rPr>
          <w:rFonts w:ascii="Arial" w:eastAsia="Calibri" w:hAnsi="Arial" w:cs="Arial"/>
          <w:color w:val="000000"/>
        </w:rPr>
        <w:t>This document obtained the following approvals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Document history"/>
        <w:tblDescription w:val="Details of the verison control for the previous reviews of the policy and decision making"/>
      </w:tblPr>
      <w:tblGrid>
        <w:gridCol w:w="5524"/>
        <w:gridCol w:w="2058"/>
        <w:gridCol w:w="1434"/>
      </w:tblGrid>
      <w:tr w:rsidR="00115091" w:rsidRPr="00115091" w14:paraId="792F8FF6" w14:textId="77777777" w:rsidTr="00BE18B0">
        <w:trPr>
          <w:tblHeader/>
        </w:trPr>
        <w:tc>
          <w:tcPr>
            <w:tcW w:w="5524" w:type="dxa"/>
            <w:tcBorders>
              <w:top w:val="single" w:sz="4" w:space="0" w:color="auto"/>
              <w:left w:val="single" w:sz="4" w:space="0" w:color="auto"/>
              <w:bottom w:val="single" w:sz="4" w:space="0" w:color="auto"/>
              <w:right w:val="single" w:sz="4" w:space="0" w:color="auto"/>
            </w:tcBorders>
            <w:vAlign w:val="center"/>
            <w:hideMark/>
          </w:tcPr>
          <w:p w14:paraId="6D656551" w14:textId="77777777" w:rsidR="00115091" w:rsidRPr="00115091" w:rsidRDefault="00115091" w:rsidP="00BE18B0">
            <w:pPr>
              <w:autoSpaceDE w:val="0"/>
              <w:autoSpaceDN w:val="0"/>
              <w:adjustRightInd w:val="0"/>
              <w:rPr>
                <w:rFonts w:ascii="Arial" w:eastAsia="Calibri" w:hAnsi="Arial" w:cs="Arial"/>
                <w:b/>
                <w:bCs/>
                <w:color w:val="000000"/>
              </w:rPr>
            </w:pPr>
            <w:r w:rsidRPr="00115091">
              <w:rPr>
                <w:rFonts w:ascii="Arial" w:eastAsia="Calibri" w:hAnsi="Arial" w:cs="Arial"/>
                <w:b/>
                <w:bCs/>
                <w:color w:val="000000"/>
              </w:rPr>
              <w:t xml:space="preserve">Title </w:t>
            </w:r>
          </w:p>
        </w:tc>
        <w:tc>
          <w:tcPr>
            <w:tcW w:w="2058" w:type="dxa"/>
            <w:tcBorders>
              <w:top w:val="single" w:sz="4" w:space="0" w:color="auto"/>
              <w:left w:val="single" w:sz="4" w:space="0" w:color="auto"/>
              <w:bottom w:val="single" w:sz="4" w:space="0" w:color="auto"/>
              <w:right w:val="single" w:sz="4" w:space="0" w:color="auto"/>
            </w:tcBorders>
            <w:vAlign w:val="center"/>
            <w:hideMark/>
          </w:tcPr>
          <w:p w14:paraId="65ECCC89" w14:textId="77777777" w:rsidR="00115091" w:rsidRPr="00115091" w:rsidRDefault="00115091" w:rsidP="00BE18B0">
            <w:pPr>
              <w:autoSpaceDE w:val="0"/>
              <w:autoSpaceDN w:val="0"/>
              <w:adjustRightInd w:val="0"/>
              <w:rPr>
                <w:rFonts w:ascii="Arial" w:eastAsia="Calibri" w:hAnsi="Arial" w:cs="Arial"/>
                <w:b/>
                <w:bCs/>
                <w:color w:val="000000"/>
              </w:rPr>
            </w:pPr>
            <w:r w:rsidRPr="00115091">
              <w:rPr>
                <w:rFonts w:ascii="Arial" w:eastAsia="Calibri" w:hAnsi="Arial" w:cs="Arial"/>
                <w:b/>
                <w:bCs/>
                <w:color w:val="000000"/>
              </w:rPr>
              <w:t>Date</w:t>
            </w:r>
          </w:p>
        </w:tc>
        <w:tc>
          <w:tcPr>
            <w:tcW w:w="1434" w:type="dxa"/>
            <w:tcBorders>
              <w:top w:val="single" w:sz="4" w:space="0" w:color="auto"/>
              <w:left w:val="single" w:sz="4" w:space="0" w:color="auto"/>
              <w:bottom w:val="single" w:sz="4" w:space="0" w:color="auto"/>
              <w:right w:val="single" w:sz="4" w:space="0" w:color="auto"/>
            </w:tcBorders>
            <w:vAlign w:val="center"/>
            <w:hideMark/>
          </w:tcPr>
          <w:p w14:paraId="486F8434" w14:textId="77777777" w:rsidR="00115091" w:rsidRPr="00115091" w:rsidRDefault="00115091" w:rsidP="00BE18B0">
            <w:pPr>
              <w:autoSpaceDE w:val="0"/>
              <w:autoSpaceDN w:val="0"/>
              <w:adjustRightInd w:val="0"/>
              <w:rPr>
                <w:rFonts w:ascii="Arial" w:eastAsia="Calibri" w:hAnsi="Arial" w:cs="Arial"/>
                <w:b/>
                <w:bCs/>
                <w:color w:val="000000"/>
              </w:rPr>
            </w:pPr>
            <w:r w:rsidRPr="00115091">
              <w:rPr>
                <w:rFonts w:ascii="Arial" w:eastAsia="Calibri" w:hAnsi="Arial" w:cs="Arial"/>
                <w:b/>
                <w:bCs/>
                <w:color w:val="000000"/>
              </w:rPr>
              <w:t xml:space="preserve">Version Approved </w:t>
            </w:r>
          </w:p>
        </w:tc>
      </w:tr>
      <w:tr w:rsidR="00115091" w:rsidRPr="00115091" w14:paraId="1A473816" w14:textId="77777777" w:rsidTr="00BE18B0">
        <w:tc>
          <w:tcPr>
            <w:tcW w:w="5524" w:type="dxa"/>
            <w:tcBorders>
              <w:top w:val="single" w:sz="4" w:space="0" w:color="auto"/>
              <w:left w:val="single" w:sz="4" w:space="0" w:color="auto"/>
              <w:bottom w:val="single" w:sz="4" w:space="0" w:color="auto"/>
              <w:right w:val="single" w:sz="4" w:space="0" w:color="auto"/>
            </w:tcBorders>
            <w:vAlign w:val="center"/>
          </w:tcPr>
          <w:p w14:paraId="30B2BEBD" w14:textId="482113BE" w:rsidR="00115091" w:rsidRPr="00115091" w:rsidRDefault="00115091" w:rsidP="00BE18B0">
            <w:pPr>
              <w:autoSpaceDE w:val="0"/>
              <w:autoSpaceDN w:val="0"/>
              <w:adjustRightInd w:val="0"/>
              <w:rPr>
                <w:rFonts w:ascii="Arial" w:eastAsia="Calibri" w:hAnsi="Arial" w:cs="Arial"/>
                <w:bCs/>
                <w:color w:val="000000"/>
                <w:sz w:val="20"/>
                <w:szCs w:val="20"/>
              </w:rPr>
            </w:pPr>
            <w:r w:rsidRPr="00115091">
              <w:rPr>
                <w:rFonts w:ascii="Arial" w:eastAsia="Calibri" w:hAnsi="Arial" w:cs="Arial"/>
                <w:bCs/>
                <w:color w:val="000000"/>
                <w:sz w:val="20"/>
                <w:szCs w:val="20"/>
              </w:rPr>
              <w:t xml:space="preserve">Policy </w:t>
            </w:r>
            <w:r>
              <w:rPr>
                <w:rFonts w:ascii="Arial" w:eastAsia="Calibri" w:hAnsi="Arial" w:cs="Arial"/>
                <w:bCs/>
                <w:color w:val="000000"/>
                <w:sz w:val="20"/>
                <w:szCs w:val="20"/>
              </w:rPr>
              <w:t>o</w:t>
            </w:r>
            <w:r w:rsidRPr="00115091">
              <w:rPr>
                <w:rFonts w:ascii="Arial" w:eastAsia="Calibri" w:hAnsi="Arial" w:cs="Arial"/>
                <w:bCs/>
                <w:color w:val="000000"/>
                <w:sz w:val="20"/>
                <w:szCs w:val="20"/>
              </w:rPr>
              <w:t xml:space="preserve">n </w:t>
            </w:r>
            <w:r>
              <w:rPr>
                <w:rFonts w:ascii="Arial" w:eastAsia="Calibri" w:hAnsi="Arial" w:cs="Arial"/>
                <w:bCs/>
                <w:color w:val="000000"/>
                <w:sz w:val="20"/>
                <w:szCs w:val="20"/>
              </w:rPr>
              <w:t>t</w:t>
            </w:r>
            <w:r w:rsidRPr="00115091">
              <w:rPr>
                <w:rFonts w:ascii="Arial" w:eastAsia="Calibri" w:hAnsi="Arial" w:cs="Arial"/>
                <w:bCs/>
                <w:color w:val="000000"/>
                <w:sz w:val="20"/>
                <w:szCs w:val="20"/>
              </w:rPr>
              <w:t xml:space="preserve">he Use </w:t>
            </w:r>
            <w:r>
              <w:rPr>
                <w:rFonts w:ascii="Arial" w:eastAsia="Calibri" w:hAnsi="Arial" w:cs="Arial"/>
                <w:bCs/>
                <w:color w:val="000000"/>
                <w:sz w:val="20"/>
                <w:szCs w:val="20"/>
              </w:rPr>
              <w:t>o</w:t>
            </w:r>
            <w:r w:rsidRPr="00115091">
              <w:rPr>
                <w:rFonts w:ascii="Arial" w:eastAsia="Calibri" w:hAnsi="Arial" w:cs="Arial"/>
                <w:bCs/>
                <w:color w:val="000000"/>
                <w:sz w:val="20"/>
                <w:szCs w:val="20"/>
              </w:rPr>
              <w:t xml:space="preserve">f Financial Penalties </w:t>
            </w:r>
            <w:r>
              <w:rPr>
                <w:rFonts w:ascii="Arial" w:eastAsia="Calibri" w:hAnsi="Arial" w:cs="Arial"/>
                <w:bCs/>
                <w:color w:val="000000"/>
                <w:sz w:val="20"/>
                <w:szCs w:val="20"/>
              </w:rPr>
              <w:t>f</w:t>
            </w:r>
            <w:r w:rsidRPr="00115091">
              <w:rPr>
                <w:rFonts w:ascii="Arial" w:eastAsia="Calibri" w:hAnsi="Arial" w:cs="Arial"/>
                <w:bCs/>
                <w:color w:val="000000"/>
                <w:sz w:val="20"/>
                <w:szCs w:val="20"/>
              </w:rPr>
              <w:t xml:space="preserve">or Housing Act Offences </w:t>
            </w:r>
          </w:p>
        </w:tc>
        <w:tc>
          <w:tcPr>
            <w:tcW w:w="2058" w:type="dxa"/>
            <w:tcBorders>
              <w:top w:val="single" w:sz="4" w:space="0" w:color="auto"/>
              <w:left w:val="single" w:sz="4" w:space="0" w:color="auto"/>
              <w:bottom w:val="single" w:sz="4" w:space="0" w:color="auto"/>
              <w:right w:val="single" w:sz="4" w:space="0" w:color="auto"/>
            </w:tcBorders>
            <w:vAlign w:val="center"/>
          </w:tcPr>
          <w:p w14:paraId="544C2191" w14:textId="77777777" w:rsidR="00115091" w:rsidRPr="00115091" w:rsidRDefault="00115091" w:rsidP="00BE18B0">
            <w:pPr>
              <w:autoSpaceDE w:val="0"/>
              <w:autoSpaceDN w:val="0"/>
              <w:adjustRightInd w:val="0"/>
              <w:rPr>
                <w:rFonts w:ascii="Arial" w:eastAsia="Calibri" w:hAnsi="Arial" w:cs="Arial"/>
                <w:bCs/>
                <w:sz w:val="20"/>
                <w:szCs w:val="20"/>
              </w:rPr>
            </w:pPr>
            <w:r w:rsidRPr="00115091">
              <w:rPr>
                <w:rFonts w:ascii="Arial" w:eastAsia="Calibri" w:hAnsi="Arial" w:cs="Arial"/>
                <w:bCs/>
                <w:sz w:val="20"/>
                <w:szCs w:val="20"/>
              </w:rPr>
              <w:t>August 2017</w:t>
            </w:r>
          </w:p>
        </w:tc>
        <w:tc>
          <w:tcPr>
            <w:tcW w:w="1434" w:type="dxa"/>
            <w:tcBorders>
              <w:top w:val="single" w:sz="4" w:space="0" w:color="auto"/>
              <w:left w:val="single" w:sz="4" w:space="0" w:color="auto"/>
              <w:bottom w:val="single" w:sz="4" w:space="0" w:color="auto"/>
              <w:right w:val="single" w:sz="4" w:space="0" w:color="auto"/>
            </w:tcBorders>
            <w:vAlign w:val="center"/>
          </w:tcPr>
          <w:p w14:paraId="07B08767" w14:textId="77777777" w:rsidR="00115091" w:rsidRPr="00115091" w:rsidRDefault="00115091" w:rsidP="00BE18B0">
            <w:pPr>
              <w:autoSpaceDE w:val="0"/>
              <w:autoSpaceDN w:val="0"/>
              <w:adjustRightInd w:val="0"/>
              <w:jc w:val="center"/>
              <w:rPr>
                <w:rFonts w:ascii="Arial" w:eastAsia="Calibri" w:hAnsi="Arial" w:cs="Arial"/>
                <w:bCs/>
                <w:color w:val="000000"/>
                <w:sz w:val="20"/>
                <w:szCs w:val="20"/>
              </w:rPr>
            </w:pPr>
            <w:r w:rsidRPr="00115091">
              <w:rPr>
                <w:rFonts w:ascii="Arial" w:eastAsia="Calibri" w:hAnsi="Arial" w:cs="Arial"/>
                <w:bCs/>
                <w:color w:val="000000"/>
                <w:sz w:val="20"/>
                <w:szCs w:val="20"/>
              </w:rPr>
              <w:t>V2</w:t>
            </w:r>
          </w:p>
        </w:tc>
      </w:tr>
      <w:tr w:rsidR="00115091" w:rsidRPr="00115091" w14:paraId="247EEDF3" w14:textId="77777777" w:rsidTr="00BE18B0">
        <w:tc>
          <w:tcPr>
            <w:tcW w:w="5524" w:type="dxa"/>
            <w:tcBorders>
              <w:top w:val="single" w:sz="4" w:space="0" w:color="auto"/>
              <w:left w:val="single" w:sz="4" w:space="0" w:color="auto"/>
              <w:bottom w:val="single" w:sz="4" w:space="0" w:color="auto"/>
              <w:right w:val="single" w:sz="4" w:space="0" w:color="auto"/>
            </w:tcBorders>
            <w:vAlign w:val="center"/>
          </w:tcPr>
          <w:p w14:paraId="43EF2949" w14:textId="0AFE825A" w:rsidR="00115091" w:rsidRPr="00115091" w:rsidRDefault="00115091" w:rsidP="00BE18B0">
            <w:pPr>
              <w:autoSpaceDE w:val="0"/>
              <w:autoSpaceDN w:val="0"/>
              <w:adjustRightInd w:val="0"/>
              <w:rPr>
                <w:rFonts w:ascii="Arial" w:eastAsia="Calibri" w:hAnsi="Arial" w:cs="Arial"/>
                <w:bCs/>
                <w:color w:val="000000"/>
                <w:sz w:val="20"/>
                <w:szCs w:val="20"/>
              </w:rPr>
            </w:pPr>
            <w:r w:rsidRPr="00115091">
              <w:rPr>
                <w:rFonts w:ascii="Arial" w:eastAsia="Calibri" w:hAnsi="Arial" w:cs="Arial"/>
                <w:bCs/>
                <w:color w:val="000000"/>
                <w:sz w:val="20"/>
                <w:szCs w:val="20"/>
              </w:rPr>
              <w:t xml:space="preserve">Policy </w:t>
            </w:r>
            <w:r>
              <w:rPr>
                <w:rFonts w:ascii="Arial" w:eastAsia="Calibri" w:hAnsi="Arial" w:cs="Arial"/>
                <w:bCs/>
                <w:color w:val="000000"/>
                <w:sz w:val="20"/>
                <w:szCs w:val="20"/>
              </w:rPr>
              <w:t>o</w:t>
            </w:r>
            <w:r w:rsidRPr="00115091">
              <w:rPr>
                <w:rFonts w:ascii="Arial" w:eastAsia="Calibri" w:hAnsi="Arial" w:cs="Arial"/>
                <w:bCs/>
                <w:color w:val="000000"/>
                <w:sz w:val="20"/>
                <w:szCs w:val="20"/>
              </w:rPr>
              <w:t xml:space="preserve">n </w:t>
            </w:r>
            <w:r>
              <w:rPr>
                <w:rFonts w:ascii="Arial" w:eastAsia="Calibri" w:hAnsi="Arial" w:cs="Arial"/>
                <w:bCs/>
                <w:color w:val="000000"/>
                <w:sz w:val="20"/>
                <w:szCs w:val="20"/>
              </w:rPr>
              <w:t>t</w:t>
            </w:r>
            <w:r w:rsidRPr="00115091">
              <w:rPr>
                <w:rFonts w:ascii="Arial" w:eastAsia="Calibri" w:hAnsi="Arial" w:cs="Arial"/>
                <w:bCs/>
                <w:color w:val="000000"/>
                <w:sz w:val="20"/>
                <w:szCs w:val="20"/>
              </w:rPr>
              <w:t xml:space="preserve">he Use </w:t>
            </w:r>
            <w:r>
              <w:rPr>
                <w:rFonts w:ascii="Arial" w:eastAsia="Calibri" w:hAnsi="Arial" w:cs="Arial"/>
                <w:bCs/>
                <w:color w:val="000000"/>
                <w:sz w:val="20"/>
                <w:szCs w:val="20"/>
              </w:rPr>
              <w:t>o</w:t>
            </w:r>
            <w:r w:rsidRPr="00115091">
              <w:rPr>
                <w:rFonts w:ascii="Arial" w:eastAsia="Calibri" w:hAnsi="Arial" w:cs="Arial"/>
                <w:bCs/>
                <w:color w:val="000000"/>
                <w:sz w:val="20"/>
                <w:szCs w:val="20"/>
              </w:rPr>
              <w:t xml:space="preserve">f Financial Penalties </w:t>
            </w:r>
            <w:r>
              <w:rPr>
                <w:rFonts w:ascii="Arial" w:eastAsia="Calibri" w:hAnsi="Arial" w:cs="Arial"/>
                <w:bCs/>
                <w:color w:val="000000"/>
                <w:sz w:val="20"/>
                <w:szCs w:val="20"/>
              </w:rPr>
              <w:t>f</w:t>
            </w:r>
            <w:r w:rsidRPr="00115091">
              <w:rPr>
                <w:rFonts w:ascii="Arial" w:eastAsia="Calibri" w:hAnsi="Arial" w:cs="Arial"/>
                <w:bCs/>
                <w:color w:val="000000"/>
                <w:sz w:val="20"/>
                <w:szCs w:val="20"/>
              </w:rPr>
              <w:t>or Housing Act Offences (Approved V3)</w:t>
            </w:r>
          </w:p>
        </w:tc>
        <w:tc>
          <w:tcPr>
            <w:tcW w:w="2058" w:type="dxa"/>
            <w:tcBorders>
              <w:top w:val="single" w:sz="4" w:space="0" w:color="auto"/>
              <w:left w:val="single" w:sz="4" w:space="0" w:color="auto"/>
              <w:bottom w:val="single" w:sz="4" w:space="0" w:color="auto"/>
              <w:right w:val="single" w:sz="4" w:space="0" w:color="auto"/>
            </w:tcBorders>
            <w:vAlign w:val="center"/>
          </w:tcPr>
          <w:p w14:paraId="490FA89D" w14:textId="77777777" w:rsidR="00115091" w:rsidRPr="00115091" w:rsidRDefault="00115091" w:rsidP="00BE18B0">
            <w:pPr>
              <w:autoSpaceDE w:val="0"/>
              <w:autoSpaceDN w:val="0"/>
              <w:adjustRightInd w:val="0"/>
              <w:rPr>
                <w:rFonts w:ascii="Arial" w:eastAsia="Calibri" w:hAnsi="Arial" w:cs="Arial"/>
                <w:bCs/>
                <w:color w:val="000000"/>
                <w:sz w:val="20"/>
                <w:szCs w:val="20"/>
              </w:rPr>
            </w:pPr>
            <w:r w:rsidRPr="00115091">
              <w:rPr>
                <w:rFonts w:ascii="Arial" w:eastAsia="Calibri" w:hAnsi="Arial" w:cs="Arial"/>
                <w:bCs/>
                <w:color w:val="000000"/>
                <w:sz w:val="20"/>
                <w:szCs w:val="20"/>
              </w:rPr>
              <w:t>3 August 2021</w:t>
            </w:r>
          </w:p>
        </w:tc>
        <w:tc>
          <w:tcPr>
            <w:tcW w:w="1434" w:type="dxa"/>
            <w:tcBorders>
              <w:top w:val="single" w:sz="4" w:space="0" w:color="auto"/>
              <w:left w:val="single" w:sz="4" w:space="0" w:color="auto"/>
              <w:bottom w:val="single" w:sz="4" w:space="0" w:color="auto"/>
              <w:right w:val="single" w:sz="4" w:space="0" w:color="auto"/>
            </w:tcBorders>
            <w:vAlign w:val="center"/>
          </w:tcPr>
          <w:p w14:paraId="78C479BB" w14:textId="77777777" w:rsidR="00115091" w:rsidRPr="00115091" w:rsidRDefault="00115091" w:rsidP="00BE18B0">
            <w:pPr>
              <w:autoSpaceDE w:val="0"/>
              <w:autoSpaceDN w:val="0"/>
              <w:adjustRightInd w:val="0"/>
              <w:jc w:val="center"/>
              <w:rPr>
                <w:rFonts w:ascii="Arial" w:eastAsia="Calibri" w:hAnsi="Arial" w:cs="Arial"/>
                <w:bCs/>
                <w:color w:val="000000"/>
                <w:sz w:val="20"/>
                <w:szCs w:val="20"/>
              </w:rPr>
            </w:pPr>
            <w:r w:rsidRPr="00115091">
              <w:rPr>
                <w:rFonts w:ascii="Arial" w:eastAsia="Calibri" w:hAnsi="Arial" w:cs="Arial"/>
                <w:bCs/>
                <w:color w:val="000000"/>
                <w:sz w:val="20"/>
                <w:szCs w:val="20"/>
              </w:rPr>
              <w:t>V3</w:t>
            </w:r>
          </w:p>
        </w:tc>
      </w:tr>
      <w:tr w:rsidR="00115091" w:rsidRPr="00115091" w14:paraId="23C9C550" w14:textId="77777777" w:rsidTr="00BE18B0">
        <w:tc>
          <w:tcPr>
            <w:tcW w:w="5524" w:type="dxa"/>
            <w:tcBorders>
              <w:top w:val="single" w:sz="4" w:space="0" w:color="auto"/>
              <w:left w:val="single" w:sz="4" w:space="0" w:color="auto"/>
              <w:bottom w:val="single" w:sz="4" w:space="0" w:color="auto"/>
              <w:right w:val="single" w:sz="4" w:space="0" w:color="auto"/>
            </w:tcBorders>
            <w:vAlign w:val="center"/>
          </w:tcPr>
          <w:p w14:paraId="3C77E01D" w14:textId="2CE01886" w:rsidR="00115091" w:rsidRPr="00115091" w:rsidRDefault="00115091" w:rsidP="00BE18B0">
            <w:pPr>
              <w:autoSpaceDE w:val="0"/>
              <w:autoSpaceDN w:val="0"/>
              <w:adjustRightInd w:val="0"/>
              <w:rPr>
                <w:rFonts w:ascii="Arial" w:eastAsia="Calibri" w:hAnsi="Arial" w:cs="Arial"/>
                <w:bCs/>
                <w:color w:val="000000"/>
                <w:sz w:val="20"/>
                <w:szCs w:val="20"/>
              </w:rPr>
            </w:pPr>
            <w:r w:rsidRPr="00115091">
              <w:rPr>
                <w:rFonts w:ascii="Arial" w:eastAsia="Calibri" w:hAnsi="Arial" w:cs="Arial"/>
                <w:bCs/>
                <w:color w:val="000000"/>
                <w:sz w:val="20"/>
                <w:szCs w:val="20"/>
              </w:rPr>
              <w:t xml:space="preserve">Policy </w:t>
            </w:r>
            <w:r>
              <w:rPr>
                <w:rFonts w:ascii="Arial" w:eastAsia="Calibri" w:hAnsi="Arial" w:cs="Arial"/>
                <w:bCs/>
                <w:color w:val="000000"/>
                <w:sz w:val="20"/>
                <w:szCs w:val="20"/>
              </w:rPr>
              <w:t>o</w:t>
            </w:r>
            <w:r w:rsidRPr="00115091">
              <w:rPr>
                <w:rFonts w:ascii="Arial" w:eastAsia="Calibri" w:hAnsi="Arial" w:cs="Arial"/>
                <w:bCs/>
                <w:color w:val="000000"/>
                <w:sz w:val="20"/>
                <w:szCs w:val="20"/>
              </w:rPr>
              <w:t xml:space="preserve">n </w:t>
            </w:r>
            <w:r>
              <w:rPr>
                <w:rFonts w:ascii="Arial" w:eastAsia="Calibri" w:hAnsi="Arial" w:cs="Arial"/>
                <w:bCs/>
                <w:color w:val="000000"/>
                <w:sz w:val="20"/>
                <w:szCs w:val="20"/>
              </w:rPr>
              <w:t>t</w:t>
            </w:r>
            <w:r w:rsidRPr="00115091">
              <w:rPr>
                <w:rFonts w:ascii="Arial" w:eastAsia="Calibri" w:hAnsi="Arial" w:cs="Arial"/>
                <w:bCs/>
                <w:color w:val="000000"/>
                <w:sz w:val="20"/>
                <w:szCs w:val="20"/>
              </w:rPr>
              <w:t xml:space="preserve">he Use </w:t>
            </w:r>
            <w:r>
              <w:rPr>
                <w:rFonts w:ascii="Arial" w:eastAsia="Calibri" w:hAnsi="Arial" w:cs="Arial"/>
                <w:bCs/>
                <w:color w:val="000000"/>
                <w:sz w:val="20"/>
                <w:szCs w:val="20"/>
              </w:rPr>
              <w:t>o</w:t>
            </w:r>
            <w:r w:rsidRPr="00115091">
              <w:rPr>
                <w:rFonts w:ascii="Arial" w:eastAsia="Calibri" w:hAnsi="Arial" w:cs="Arial"/>
                <w:bCs/>
                <w:color w:val="000000"/>
                <w:sz w:val="20"/>
                <w:szCs w:val="20"/>
              </w:rPr>
              <w:t xml:space="preserve">f Financial Penalties </w:t>
            </w:r>
            <w:r>
              <w:rPr>
                <w:rFonts w:ascii="Arial" w:eastAsia="Calibri" w:hAnsi="Arial" w:cs="Arial"/>
                <w:bCs/>
                <w:color w:val="000000"/>
                <w:sz w:val="20"/>
                <w:szCs w:val="20"/>
              </w:rPr>
              <w:t>f</w:t>
            </w:r>
            <w:r w:rsidRPr="00115091">
              <w:rPr>
                <w:rFonts w:ascii="Arial" w:eastAsia="Calibri" w:hAnsi="Arial" w:cs="Arial"/>
                <w:bCs/>
                <w:color w:val="000000"/>
                <w:sz w:val="20"/>
                <w:szCs w:val="20"/>
              </w:rPr>
              <w:t>or Housing Act Offences (Reviewed V4)</w:t>
            </w:r>
          </w:p>
        </w:tc>
        <w:tc>
          <w:tcPr>
            <w:tcW w:w="2058" w:type="dxa"/>
            <w:tcBorders>
              <w:top w:val="single" w:sz="4" w:space="0" w:color="auto"/>
              <w:left w:val="single" w:sz="4" w:space="0" w:color="auto"/>
              <w:bottom w:val="single" w:sz="4" w:space="0" w:color="auto"/>
              <w:right w:val="single" w:sz="4" w:space="0" w:color="auto"/>
            </w:tcBorders>
            <w:vAlign w:val="center"/>
          </w:tcPr>
          <w:p w14:paraId="5DDD9046" w14:textId="77777777" w:rsidR="00115091" w:rsidRPr="00115091" w:rsidRDefault="00115091" w:rsidP="00BE18B0">
            <w:pPr>
              <w:autoSpaceDE w:val="0"/>
              <w:autoSpaceDN w:val="0"/>
              <w:adjustRightInd w:val="0"/>
              <w:rPr>
                <w:rFonts w:ascii="Arial" w:eastAsia="Calibri" w:hAnsi="Arial" w:cs="Arial"/>
                <w:bCs/>
                <w:color w:val="000000"/>
                <w:sz w:val="20"/>
                <w:szCs w:val="20"/>
              </w:rPr>
            </w:pPr>
            <w:r w:rsidRPr="00115091">
              <w:rPr>
                <w:rFonts w:ascii="Arial" w:eastAsia="Calibri" w:hAnsi="Arial" w:cs="Arial"/>
                <w:bCs/>
                <w:color w:val="000000"/>
                <w:sz w:val="20"/>
                <w:szCs w:val="20"/>
              </w:rPr>
              <w:t>29 November 2022 (Cabinet)</w:t>
            </w:r>
          </w:p>
        </w:tc>
        <w:tc>
          <w:tcPr>
            <w:tcW w:w="1434" w:type="dxa"/>
            <w:tcBorders>
              <w:top w:val="single" w:sz="4" w:space="0" w:color="auto"/>
              <w:left w:val="single" w:sz="4" w:space="0" w:color="auto"/>
              <w:bottom w:val="single" w:sz="4" w:space="0" w:color="auto"/>
              <w:right w:val="single" w:sz="4" w:space="0" w:color="auto"/>
            </w:tcBorders>
            <w:vAlign w:val="center"/>
          </w:tcPr>
          <w:p w14:paraId="17F4C22C" w14:textId="77777777" w:rsidR="00115091" w:rsidRPr="00115091" w:rsidRDefault="00115091" w:rsidP="00BE18B0">
            <w:pPr>
              <w:autoSpaceDE w:val="0"/>
              <w:autoSpaceDN w:val="0"/>
              <w:adjustRightInd w:val="0"/>
              <w:jc w:val="center"/>
              <w:rPr>
                <w:rFonts w:ascii="Arial" w:eastAsia="Calibri" w:hAnsi="Arial" w:cs="Arial"/>
                <w:bCs/>
                <w:color w:val="000000"/>
                <w:sz w:val="20"/>
                <w:szCs w:val="20"/>
              </w:rPr>
            </w:pPr>
            <w:r w:rsidRPr="00115091">
              <w:rPr>
                <w:rFonts w:ascii="Arial" w:eastAsia="Calibri" w:hAnsi="Arial" w:cs="Arial"/>
                <w:bCs/>
                <w:color w:val="000000"/>
                <w:sz w:val="20"/>
                <w:szCs w:val="20"/>
              </w:rPr>
              <w:t>V4</w:t>
            </w:r>
          </w:p>
        </w:tc>
      </w:tr>
      <w:tr w:rsidR="00115091" w:rsidRPr="00115091" w14:paraId="72FF4F4B" w14:textId="77777777" w:rsidTr="00BE18B0">
        <w:tc>
          <w:tcPr>
            <w:tcW w:w="5524" w:type="dxa"/>
            <w:tcBorders>
              <w:top w:val="single" w:sz="4" w:space="0" w:color="auto"/>
              <w:left w:val="single" w:sz="4" w:space="0" w:color="auto"/>
              <w:bottom w:val="single" w:sz="4" w:space="0" w:color="auto"/>
              <w:right w:val="single" w:sz="4" w:space="0" w:color="auto"/>
            </w:tcBorders>
            <w:vAlign w:val="center"/>
          </w:tcPr>
          <w:p w14:paraId="0EA351CD" w14:textId="7806E2DF" w:rsidR="00115091" w:rsidRPr="00115091" w:rsidRDefault="00115091" w:rsidP="00BE18B0">
            <w:pPr>
              <w:autoSpaceDE w:val="0"/>
              <w:autoSpaceDN w:val="0"/>
              <w:adjustRightInd w:val="0"/>
              <w:rPr>
                <w:rFonts w:ascii="Arial" w:eastAsia="Calibri" w:hAnsi="Arial" w:cs="Arial"/>
                <w:bCs/>
                <w:i/>
                <w:color w:val="000000"/>
                <w:sz w:val="20"/>
                <w:szCs w:val="20"/>
              </w:rPr>
            </w:pPr>
            <w:r w:rsidRPr="00115091">
              <w:rPr>
                <w:rFonts w:ascii="Arial" w:eastAsia="Calibri" w:hAnsi="Arial" w:cs="Arial"/>
                <w:bCs/>
                <w:color w:val="000000"/>
                <w:sz w:val="20"/>
                <w:szCs w:val="20"/>
              </w:rPr>
              <w:t xml:space="preserve">Policy </w:t>
            </w:r>
            <w:r>
              <w:rPr>
                <w:rFonts w:ascii="Arial" w:eastAsia="Calibri" w:hAnsi="Arial" w:cs="Arial"/>
                <w:bCs/>
                <w:color w:val="000000"/>
                <w:sz w:val="20"/>
                <w:szCs w:val="20"/>
              </w:rPr>
              <w:t>o</w:t>
            </w:r>
            <w:r w:rsidRPr="00115091">
              <w:rPr>
                <w:rFonts w:ascii="Arial" w:eastAsia="Calibri" w:hAnsi="Arial" w:cs="Arial"/>
                <w:bCs/>
                <w:color w:val="000000"/>
                <w:sz w:val="20"/>
                <w:szCs w:val="20"/>
              </w:rPr>
              <w:t xml:space="preserve">n </w:t>
            </w:r>
            <w:r>
              <w:rPr>
                <w:rFonts w:ascii="Arial" w:eastAsia="Calibri" w:hAnsi="Arial" w:cs="Arial"/>
                <w:bCs/>
                <w:color w:val="000000"/>
                <w:sz w:val="20"/>
                <w:szCs w:val="20"/>
              </w:rPr>
              <w:t>t</w:t>
            </w:r>
            <w:r w:rsidRPr="00115091">
              <w:rPr>
                <w:rFonts w:ascii="Arial" w:eastAsia="Calibri" w:hAnsi="Arial" w:cs="Arial"/>
                <w:bCs/>
                <w:color w:val="000000"/>
                <w:sz w:val="20"/>
                <w:szCs w:val="20"/>
              </w:rPr>
              <w:t xml:space="preserve">he Use </w:t>
            </w:r>
            <w:r>
              <w:rPr>
                <w:rFonts w:ascii="Arial" w:eastAsia="Calibri" w:hAnsi="Arial" w:cs="Arial"/>
                <w:bCs/>
                <w:color w:val="000000"/>
                <w:sz w:val="20"/>
                <w:szCs w:val="20"/>
              </w:rPr>
              <w:t>o</w:t>
            </w:r>
            <w:r w:rsidRPr="00115091">
              <w:rPr>
                <w:rFonts w:ascii="Arial" w:eastAsia="Calibri" w:hAnsi="Arial" w:cs="Arial"/>
                <w:bCs/>
                <w:color w:val="000000"/>
                <w:sz w:val="20"/>
                <w:szCs w:val="20"/>
              </w:rPr>
              <w:t xml:space="preserve">f Financial Penalties </w:t>
            </w:r>
            <w:r>
              <w:rPr>
                <w:rFonts w:ascii="Arial" w:eastAsia="Calibri" w:hAnsi="Arial" w:cs="Arial"/>
                <w:bCs/>
                <w:color w:val="000000"/>
                <w:sz w:val="20"/>
                <w:szCs w:val="20"/>
              </w:rPr>
              <w:t>f</w:t>
            </w:r>
            <w:r w:rsidRPr="00115091">
              <w:rPr>
                <w:rFonts w:ascii="Arial" w:eastAsia="Calibri" w:hAnsi="Arial" w:cs="Arial"/>
                <w:bCs/>
                <w:color w:val="000000"/>
                <w:sz w:val="20"/>
                <w:szCs w:val="20"/>
              </w:rPr>
              <w:t>or Housing Act Offences (</w:t>
            </w:r>
            <w:r w:rsidRPr="00115091">
              <w:rPr>
                <w:rFonts w:ascii="Arial" w:eastAsia="Calibri" w:hAnsi="Arial" w:cs="Arial"/>
                <w:bCs/>
                <w:i/>
                <w:color w:val="000000"/>
                <w:sz w:val="20"/>
                <w:szCs w:val="20"/>
              </w:rPr>
              <w:t xml:space="preserve">Updated v4.1 </w:t>
            </w:r>
            <w:r w:rsidRPr="00115091">
              <w:rPr>
                <w:rFonts w:ascii="Arial" w:hAnsi="Arial" w:cs="Arial"/>
                <w:i/>
                <w:sz w:val="20"/>
                <w:szCs w:val="20"/>
              </w:rPr>
              <w:t>following a fees and charges review)</w:t>
            </w:r>
          </w:p>
        </w:tc>
        <w:tc>
          <w:tcPr>
            <w:tcW w:w="2058" w:type="dxa"/>
            <w:tcBorders>
              <w:top w:val="single" w:sz="4" w:space="0" w:color="auto"/>
              <w:left w:val="single" w:sz="4" w:space="0" w:color="auto"/>
              <w:bottom w:val="single" w:sz="4" w:space="0" w:color="auto"/>
              <w:right w:val="single" w:sz="4" w:space="0" w:color="auto"/>
            </w:tcBorders>
            <w:vAlign w:val="center"/>
          </w:tcPr>
          <w:p w14:paraId="2A85E0BE" w14:textId="77777777" w:rsidR="00115091" w:rsidRPr="00115091" w:rsidRDefault="00115091" w:rsidP="00BE18B0">
            <w:pPr>
              <w:autoSpaceDE w:val="0"/>
              <w:autoSpaceDN w:val="0"/>
              <w:adjustRightInd w:val="0"/>
              <w:rPr>
                <w:rFonts w:ascii="Arial" w:eastAsia="Calibri" w:hAnsi="Arial" w:cs="Arial"/>
                <w:bCs/>
                <w:color w:val="000000"/>
                <w:sz w:val="20"/>
                <w:szCs w:val="20"/>
              </w:rPr>
            </w:pPr>
            <w:r w:rsidRPr="00115091">
              <w:rPr>
                <w:rFonts w:ascii="Arial" w:eastAsia="Calibri" w:hAnsi="Arial" w:cs="Arial"/>
                <w:bCs/>
                <w:color w:val="000000"/>
                <w:sz w:val="20"/>
                <w:szCs w:val="20"/>
              </w:rPr>
              <w:t>9</w:t>
            </w:r>
            <w:r w:rsidRPr="00115091">
              <w:rPr>
                <w:rFonts w:ascii="Arial" w:eastAsia="Calibri" w:hAnsi="Arial" w:cs="Arial"/>
                <w:bCs/>
                <w:color w:val="000000"/>
                <w:sz w:val="20"/>
                <w:szCs w:val="20"/>
                <w:vertAlign w:val="superscript"/>
              </w:rPr>
              <w:t>th</w:t>
            </w:r>
            <w:r w:rsidRPr="00115091">
              <w:rPr>
                <w:rFonts w:ascii="Arial" w:eastAsia="Calibri" w:hAnsi="Arial" w:cs="Arial"/>
                <w:bCs/>
                <w:color w:val="000000"/>
                <w:sz w:val="20"/>
                <w:szCs w:val="20"/>
              </w:rPr>
              <w:t xml:space="preserve"> January 2024 (Cabinet)</w:t>
            </w:r>
          </w:p>
        </w:tc>
        <w:tc>
          <w:tcPr>
            <w:tcW w:w="1434" w:type="dxa"/>
            <w:tcBorders>
              <w:top w:val="single" w:sz="4" w:space="0" w:color="auto"/>
              <w:left w:val="single" w:sz="4" w:space="0" w:color="auto"/>
              <w:bottom w:val="single" w:sz="4" w:space="0" w:color="auto"/>
              <w:right w:val="single" w:sz="4" w:space="0" w:color="auto"/>
            </w:tcBorders>
            <w:vAlign w:val="center"/>
          </w:tcPr>
          <w:p w14:paraId="6D0BA67F" w14:textId="77777777" w:rsidR="00115091" w:rsidRPr="00115091" w:rsidRDefault="00115091" w:rsidP="00BE18B0">
            <w:pPr>
              <w:autoSpaceDE w:val="0"/>
              <w:autoSpaceDN w:val="0"/>
              <w:adjustRightInd w:val="0"/>
              <w:jc w:val="center"/>
              <w:rPr>
                <w:rFonts w:ascii="Arial" w:eastAsia="Calibri" w:hAnsi="Arial" w:cs="Arial"/>
                <w:bCs/>
                <w:color w:val="000000"/>
                <w:sz w:val="20"/>
                <w:szCs w:val="20"/>
              </w:rPr>
            </w:pPr>
            <w:r w:rsidRPr="00115091">
              <w:rPr>
                <w:rFonts w:ascii="Arial" w:eastAsia="Calibri" w:hAnsi="Arial" w:cs="Arial"/>
                <w:bCs/>
                <w:color w:val="000000"/>
                <w:sz w:val="20"/>
                <w:szCs w:val="20"/>
              </w:rPr>
              <w:t>V4.1</w:t>
            </w:r>
          </w:p>
        </w:tc>
      </w:tr>
      <w:tr w:rsidR="00115091" w:rsidRPr="00115091" w14:paraId="5F6A7222" w14:textId="77777777" w:rsidTr="00BE18B0">
        <w:tc>
          <w:tcPr>
            <w:tcW w:w="5524" w:type="dxa"/>
            <w:tcBorders>
              <w:top w:val="single" w:sz="4" w:space="0" w:color="auto"/>
              <w:left w:val="single" w:sz="4" w:space="0" w:color="auto"/>
              <w:bottom w:val="single" w:sz="4" w:space="0" w:color="auto"/>
              <w:right w:val="single" w:sz="4" w:space="0" w:color="auto"/>
            </w:tcBorders>
            <w:vAlign w:val="center"/>
          </w:tcPr>
          <w:p w14:paraId="4791E582" w14:textId="622C86BE" w:rsidR="00115091" w:rsidRPr="00115091" w:rsidRDefault="00115091" w:rsidP="00BE18B0">
            <w:pPr>
              <w:autoSpaceDE w:val="0"/>
              <w:autoSpaceDN w:val="0"/>
              <w:adjustRightInd w:val="0"/>
              <w:rPr>
                <w:rFonts w:ascii="Arial" w:eastAsia="Calibri" w:hAnsi="Arial" w:cs="Arial"/>
                <w:bCs/>
                <w:color w:val="000000"/>
                <w:sz w:val="20"/>
                <w:szCs w:val="20"/>
              </w:rPr>
            </w:pPr>
            <w:r w:rsidRPr="00115091">
              <w:rPr>
                <w:rFonts w:ascii="Arial" w:eastAsia="Calibri" w:hAnsi="Arial" w:cs="Arial"/>
                <w:bCs/>
                <w:color w:val="000000"/>
                <w:sz w:val="20"/>
                <w:szCs w:val="20"/>
              </w:rPr>
              <w:t xml:space="preserve">Policy </w:t>
            </w:r>
            <w:r>
              <w:rPr>
                <w:rFonts w:ascii="Arial" w:eastAsia="Calibri" w:hAnsi="Arial" w:cs="Arial"/>
                <w:bCs/>
                <w:color w:val="000000"/>
                <w:sz w:val="20"/>
                <w:szCs w:val="20"/>
              </w:rPr>
              <w:t>o</w:t>
            </w:r>
            <w:r w:rsidRPr="00115091">
              <w:rPr>
                <w:rFonts w:ascii="Arial" w:eastAsia="Calibri" w:hAnsi="Arial" w:cs="Arial"/>
                <w:bCs/>
                <w:color w:val="000000"/>
                <w:sz w:val="20"/>
                <w:szCs w:val="20"/>
              </w:rPr>
              <w:t xml:space="preserve">n </w:t>
            </w:r>
            <w:r>
              <w:rPr>
                <w:rFonts w:ascii="Arial" w:eastAsia="Calibri" w:hAnsi="Arial" w:cs="Arial"/>
                <w:bCs/>
                <w:color w:val="000000"/>
                <w:sz w:val="20"/>
                <w:szCs w:val="20"/>
              </w:rPr>
              <w:t>t</w:t>
            </w:r>
            <w:r w:rsidRPr="00115091">
              <w:rPr>
                <w:rFonts w:ascii="Arial" w:eastAsia="Calibri" w:hAnsi="Arial" w:cs="Arial"/>
                <w:bCs/>
                <w:color w:val="000000"/>
                <w:sz w:val="20"/>
                <w:szCs w:val="20"/>
              </w:rPr>
              <w:t xml:space="preserve">he Use </w:t>
            </w:r>
            <w:r>
              <w:rPr>
                <w:rFonts w:ascii="Arial" w:eastAsia="Calibri" w:hAnsi="Arial" w:cs="Arial"/>
                <w:bCs/>
                <w:color w:val="000000"/>
                <w:sz w:val="20"/>
                <w:szCs w:val="20"/>
              </w:rPr>
              <w:t>o</w:t>
            </w:r>
            <w:r w:rsidRPr="00115091">
              <w:rPr>
                <w:rFonts w:ascii="Arial" w:eastAsia="Calibri" w:hAnsi="Arial" w:cs="Arial"/>
                <w:bCs/>
                <w:color w:val="000000"/>
                <w:sz w:val="20"/>
                <w:szCs w:val="20"/>
              </w:rPr>
              <w:t xml:space="preserve">f Financial Penalties </w:t>
            </w:r>
            <w:r>
              <w:rPr>
                <w:rFonts w:ascii="Arial" w:eastAsia="Calibri" w:hAnsi="Arial" w:cs="Arial"/>
                <w:bCs/>
                <w:color w:val="000000"/>
                <w:sz w:val="20"/>
                <w:szCs w:val="20"/>
              </w:rPr>
              <w:t>f</w:t>
            </w:r>
            <w:r w:rsidRPr="00115091">
              <w:rPr>
                <w:rFonts w:ascii="Arial" w:eastAsia="Calibri" w:hAnsi="Arial" w:cs="Arial"/>
                <w:bCs/>
                <w:color w:val="000000"/>
                <w:sz w:val="20"/>
                <w:szCs w:val="20"/>
              </w:rPr>
              <w:t xml:space="preserve">or Housing Act Offences </w:t>
            </w:r>
            <w:r>
              <w:rPr>
                <w:rFonts w:ascii="Arial" w:eastAsia="Calibri" w:hAnsi="Arial" w:cs="Arial"/>
                <w:bCs/>
                <w:color w:val="000000"/>
                <w:sz w:val="20"/>
                <w:szCs w:val="20"/>
              </w:rPr>
              <w:t xml:space="preserve">to include </w:t>
            </w:r>
            <w:r w:rsidRPr="00115091">
              <w:rPr>
                <w:rFonts w:ascii="Arial" w:eastAsia="Calibri" w:hAnsi="Arial" w:cs="Arial"/>
                <w:bCs/>
                <w:color w:val="000000"/>
                <w:sz w:val="20"/>
                <w:szCs w:val="20"/>
              </w:rPr>
              <w:t>Renters</w:t>
            </w:r>
            <w:r>
              <w:rPr>
                <w:rFonts w:ascii="Arial" w:eastAsia="Calibri" w:hAnsi="Arial" w:cs="Arial"/>
                <w:bCs/>
                <w:color w:val="000000"/>
                <w:sz w:val="20"/>
                <w:szCs w:val="20"/>
              </w:rPr>
              <w:t>’</w:t>
            </w:r>
            <w:r w:rsidRPr="00115091">
              <w:rPr>
                <w:rFonts w:ascii="Arial" w:eastAsia="Calibri" w:hAnsi="Arial" w:cs="Arial"/>
                <w:bCs/>
                <w:color w:val="000000"/>
                <w:sz w:val="20"/>
                <w:szCs w:val="20"/>
              </w:rPr>
              <w:t xml:space="preserve"> Rights Act Offences </w:t>
            </w:r>
          </w:p>
        </w:tc>
        <w:tc>
          <w:tcPr>
            <w:tcW w:w="2058" w:type="dxa"/>
            <w:tcBorders>
              <w:top w:val="single" w:sz="4" w:space="0" w:color="auto"/>
              <w:left w:val="single" w:sz="4" w:space="0" w:color="auto"/>
              <w:bottom w:val="single" w:sz="4" w:space="0" w:color="auto"/>
              <w:right w:val="single" w:sz="4" w:space="0" w:color="auto"/>
            </w:tcBorders>
            <w:vAlign w:val="center"/>
          </w:tcPr>
          <w:p w14:paraId="431E9068" w14:textId="683D9C52" w:rsidR="00115091" w:rsidRPr="00115091" w:rsidRDefault="00DA1467" w:rsidP="00BE18B0">
            <w:pPr>
              <w:autoSpaceDE w:val="0"/>
              <w:autoSpaceDN w:val="0"/>
              <w:adjustRightInd w:val="0"/>
              <w:rPr>
                <w:rFonts w:ascii="Arial" w:eastAsia="Calibri" w:hAnsi="Arial" w:cs="Arial"/>
                <w:bCs/>
                <w:color w:val="000000"/>
                <w:sz w:val="20"/>
                <w:szCs w:val="20"/>
              </w:rPr>
            </w:pPr>
            <w:r>
              <w:rPr>
                <w:rFonts w:ascii="Arial" w:eastAsia="Calibri" w:hAnsi="Arial" w:cs="Arial"/>
                <w:bCs/>
                <w:color w:val="000000"/>
                <w:sz w:val="20"/>
                <w:szCs w:val="20"/>
              </w:rPr>
              <w:t>16</w:t>
            </w:r>
            <w:r w:rsidRPr="00DA1467">
              <w:rPr>
                <w:rFonts w:ascii="Arial" w:eastAsia="Calibri" w:hAnsi="Arial" w:cs="Arial"/>
                <w:bCs/>
                <w:color w:val="000000"/>
                <w:sz w:val="20"/>
                <w:szCs w:val="20"/>
                <w:vertAlign w:val="superscript"/>
              </w:rPr>
              <w:t>th</w:t>
            </w:r>
            <w:r>
              <w:rPr>
                <w:rFonts w:ascii="Arial" w:eastAsia="Calibri" w:hAnsi="Arial" w:cs="Arial"/>
                <w:bCs/>
                <w:color w:val="000000"/>
                <w:sz w:val="20"/>
                <w:szCs w:val="20"/>
              </w:rPr>
              <w:t xml:space="preserve"> June 2026 (Cabinet)</w:t>
            </w:r>
          </w:p>
        </w:tc>
        <w:tc>
          <w:tcPr>
            <w:tcW w:w="1434" w:type="dxa"/>
            <w:tcBorders>
              <w:top w:val="single" w:sz="4" w:space="0" w:color="auto"/>
              <w:left w:val="single" w:sz="4" w:space="0" w:color="auto"/>
              <w:bottom w:val="single" w:sz="4" w:space="0" w:color="auto"/>
              <w:right w:val="single" w:sz="4" w:space="0" w:color="auto"/>
            </w:tcBorders>
            <w:vAlign w:val="center"/>
          </w:tcPr>
          <w:p w14:paraId="0696BA01" w14:textId="77777777" w:rsidR="00115091" w:rsidRPr="00115091" w:rsidRDefault="00115091" w:rsidP="00BE18B0">
            <w:pPr>
              <w:autoSpaceDE w:val="0"/>
              <w:autoSpaceDN w:val="0"/>
              <w:adjustRightInd w:val="0"/>
              <w:jc w:val="center"/>
              <w:rPr>
                <w:rFonts w:ascii="Arial" w:eastAsia="Calibri" w:hAnsi="Arial" w:cs="Arial"/>
                <w:bCs/>
                <w:color w:val="000000"/>
                <w:sz w:val="20"/>
                <w:szCs w:val="20"/>
              </w:rPr>
            </w:pPr>
            <w:r w:rsidRPr="00115091">
              <w:rPr>
                <w:rFonts w:ascii="Arial" w:eastAsia="Calibri" w:hAnsi="Arial" w:cs="Arial"/>
                <w:bCs/>
                <w:color w:val="000000"/>
                <w:sz w:val="20"/>
                <w:szCs w:val="20"/>
              </w:rPr>
              <w:t>V4.2</w:t>
            </w:r>
          </w:p>
        </w:tc>
      </w:tr>
    </w:tbl>
    <w:p w14:paraId="3E52AA11" w14:textId="77777777" w:rsidR="00115091" w:rsidRPr="00576973" w:rsidRDefault="00115091" w:rsidP="00302A19">
      <w:pPr>
        <w:pStyle w:val="EHRBodytext"/>
        <w:ind w:left="595" w:firstLine="0"/>
        <w:sectPr w:rsidR="00115091" w:rsidRPr="00576973" w:rsidSect="00176004">
          <w:footerReference w:type="default" r:id="rId12"/>
          <w:pgSz w:w="11906" w:h="16838"/>
          <w:pgMar w:top="1134" w:right="1133" w:bottom="1135" w:left="1134" w:header="708" w:footer="305" w:gutter="0"/>
          <w:cols w:space="708"/>
          <w:titlePg/>
          <w:docGrid w:linePitch="360"/>
        </w:sectPr>
      </w:pPr>
    </w:p>
    <w:p w14:paraId="04531270" w14:textId="420EACC3" w:rsidR="00847DDA" w:rsidRPr="00576973" w:rsidRDefault="00A96F97" w:rsidP="00166586">
      <w:pPr>
        <w:pStyle w:val="EHRMajorheading"/>
      </w:pPr>
      <w:bookmarkStart w:id="1" w:name="_Toc36732989"/>
      <w:bookmarkStart w:id="2" w:name="_Toc36733083"/>
      <w:bookmarkStart w:id="3" w:name="_Toc36733283"/>
      <w:bookmarkStart w:id="4" w:name="_Toc36733552"/>
      <w:bookmarkStart w:id="5" w:name="_Toc36733680"/>
      <w:bookmarkStart w:id="6" w:name="_Toc228375933"/>
      <w:r w:rsidRPr="00576973">
        <w:lastRenderedPageBreak/>
        <w:t>Introduction</w:t>
      </w:r>
      <w:bookmarkEnd w:id="1"/>
      <w:bookmarkEnd w:id="2"/>
      <w:bookmarkEnd w:id="3"/>
      <w:bookmarkEnd w:id="4"/>
      <w:bookmarkEnd w:id="5"/>
      <w:bookmarkEnd w:id="6"/>
    </w:p>
    <w:p w14:paraId="48068889" w14:textId="1735F69B" w:rsidR="00381BBB" w:rsidRPr="00576973" w:rsidRDefault="00381BBB" w:rsidP="00381BBB">
      <w:pPr>
        <w:pStyle w:val="EHR-Sub-heading1"/>
      </w:pPr>
      <w:bookmarkStart w:id="7" w:name="_Toc228375934"/>
      <w:r w:rsidRPr="00576973">
        <w:t>Purpose</w:t>
      </w:r>
      <w:bookmarkEnd w:id="7"/>
    </w:p>
    <w:p w14:paraId="116D1FEE" w14:textId="084A1792" w:rsidR="00115091" w:rsidRDefault="00CA7871" w:rsidP="00115091">
      <w:pPr>
        <w:pStyle w:val="EHRBodytext"/>
        <w:rPr>
          <w:lang w:eastAsia="en-GB"/>
        </w:rPr>
      </w:pPr>
      <w:r w:rsidRPr="00576973">
        <w:rPr>
          <w:lang w:eastAsia="en-GB"/>
        </w:rPr>
        <w:t xml:space="preserve">1.1.1 </w:t>
      </w:r>
      <w:r w:rsidRPr="00576973">
        <w:rPr>
          <w:lang w:eastAsia="en-GB"/>
        </w:rPr>
        <w:tab/>
      </w:r>
      <w:r w:rsidR="00115091">
        <w:rPr>
          <w:lang w:eastAsia="en-GB"/>
        </w:rPr>
        <w:t xml:space="preserve">Private Sector Housing has a duty to ensure that private accommodation meets minimum standards. </w:t>
      </w:r>
      <w:proofErr w:type="gramStart"/>
      <w:r w:rsidR="00115091">
        <w:rPr>
          <w:lang w:eastAsia="en-GB"/>
        </w:rPr>
        <w:t>In particular there</w:t>
      </w:r>
      <w:proofErr w:type="gramEnd"/>
      <w:r w:rsidR="00115091">
        <w:rPr>
          <w:lang w:eastAsia="en-GB"/>
        </w:rPr>
        <w:t xml:space="preserve"> are regulations for the licensing, management and use of houses in multiple occupation (HMO), </w:t>
      </w:r>
      <w:r w:rsidR="009D1F00">
        <w:rPr>
          <w:lang w:eastAsia="en-GB"/>
        </w:rPr>
        <w:t>r</w:t>
      </w:r>
      <w:r w:rsidR="00115091">
        <w:rPr>
          <w:lang w:eastAsia="en-GB"/>
        </w:rPr>
        <w:t xml:space="preserve">enters’ </w:t>
      </w:r>
      <w:r w:rsidR="009D1F00">
        <w:rPr>
          <w:lang w:eastAsia="en-GB"/>
        </w:rPr>
        <w:t>r</w:t>
      </w:r>
      <w:r w:rsidR="00115091">
        <w:rPr>
          <w:lang w:eastAsia="en-GB"/>
        </w:rPr>
        <w:t>ights, carbon monoxide detectors and smoke alarms, electrical safety, energy efficiency standards, and hazards within the home.</w:t>
      </w:r>
    </w:p>
    <w:p w14:paraId="087A305D" w14:textId="03BD1C20" w:rsidR="00115091" w:rsidRDefault="00115091" w:rsidP="00115091">
      <w:pPr>
        <w:pStyle w:val="EHRBodytext"/>
        <w:rPr>
          <w:lang w:eastAsia="en-GB"/>
        </w:rPr>
      </w:pPr>
      <w:r>
        <w:rPr>
          <w:lang w:eastAsia="en-GB"/>
        </w:rPr>
        <w:t xml:space="preserve">1.1.2 </w:t>
      </w:r>
      <w:r>
        <w:rPr>
          <w:lang w:eastAsia="en-GB"/>
        </w:rPr>
        <w:tab/>
        <w:t>Legislation gives the local authority the power to charge for certain enforcement actions, and impose financial penalties, as an alternative to prosecution where responsible persons have failed to comply with various provisions.</w:t>
      </w:r>
    </w:p>
    <w:p w14:paraId="1697B488" w14:textId="760355CE" w:rsidR="00115091" w:rsidRDefault="00115091" w:rsidP="00115091">
      <w:pPr>
        <w:pStyle w:val="EHRBodytext"/>
        <w:rPr>
          <w:lang w:eastAsia="en-GB"/>
        </w:rPr>
      </w:pPr>
      <w:r>
        <w:rPr>
          <w:lang w:eastAsia="en-GB"/>
        </w:rPr>
        <w:t xml:space="preserve">1.1.3 </w:t>
      </w:r>
      <w:r>
        <w:rPr>
          <w:lang w:eastAsia="en-GB"/>
        </w:rPr>
        <w:tab/>
        <w:t>This policy sets out in one document, how fees, charges and financial penalties will be calculated and applied, in relation to the Private Sector Housing enforcement functions.</w:t>
      </w:r>
    </w:p>
    <w:p w14:paraId="7536388A" w14:textId="44B5FA15" w:rsidR="00381BBB" w:rsidRPr="00576973" w:rsidRDefault="00115091" w:rsidP="00115091">
      <w:pPr>
        <w:pStyle w:val="EHRBodytext"/>
        <w:rPr>
          <w:lang w:eastAsia="en-GB"/>
        </w:rPr>
      </w:pPr>
      <w:r>
        <w:rPr>
          <w:lang w:eastAsia="en-GB"/>
        </w:rPr>
        <w:t xml:space="preserve">1.1.4 </w:t>
      </w:r>
      <w:r>
        <w:rPr>
          <w:lang w:eastAsia="en-GB"/>
        </w:rPr>
        <w:tab/>
        <w:t>For the purposes of this policy “breach” means non-compliance with legislation for which a civil penalty of up to £7,000 may be imposed depending on the legislation. “Offence” means conduct for which the council may prosecute or impose a civil penalty of up to £40,000.</w:t>
      </w:r>
      <w:r w:rsidR="00381BBB" w:rsidRPr="00576973">
        <w:rPr>
          <w:lang w:eastAsia="en-GB"/>
        </w:rPr>
        <w:t xml:space="preserve"> </w:t>
      </w:r>
    </w:p>
    <w:p w14:paraId="0E45E3F1" w14:textId="55F32433" w:rsidR="00381BBB" w:rsidRPr="00576973" w:rsidRDefault="00381BBB" w:rsidP="00115091">
      <w:pPr>
        <w:pStyle w:val="EHR-Sub-heading1"/>
        <w:rPr>
          <w:lang w:eastAsia="en-GB"/>
        </w:rPr>
      </w:pPr>
      <w:bookmarkStart w:id="8" w:name="_Toc228375935"/>
      <w:r w:rsidRPr="00576973">
        <w:rPr>
          <w:lang w:eastAsia="en-GB"/>
        </w:rPr>
        <w:t>Review</w:t>
      </w:r>
      <w:bookmarkEnd w:id="8"/>
    </w:p>
    <w:p w14:paraId="642C5E63" w14:textId="00A6C94E" w:rsidR="00381BBB" w:rsidRPr="00576973" w:rsidRDefault="00CA7871">
      <w:pPr>
        <w:pStyle w:val="EHRBodytext"/>
        <w:rPr>
          <w:lang w:eastAsia="en-GB"/>
        </w:rPr>
      </w:pPr>
      <w:r w:rsidRPr="00576973">
        <w:rPr>
          <w:lang w:eastAsia="en-GB"/>
        </w:rPr>
        <w:t>1.2.1</w:t>
      </w:r>
      <w:r w:rsidRPr="00576973">
        <w:tab/>
      </w:r>
      <w:r w:rsidR="00102FF8" w:rsidRPr="00576973">
        <w:rPr>
          <w:lang w:eastAsia="en-GB"/>
        </w:rPr>
        <w:t>Th</w:t>
      </w:r>
      <w:r w:rsidR="008B13C2">
        <w:rPr>
          <w:lang w:eastAsia="en-GB"/>
        </w:rPr>
        <w:t xml:space="preserve">is Policy will be reviewed as and when there are changes to relevant legislation. </w:t>
      </w:r>
      <w:r w:rsidR="00381BBB" w:rsidRPr="00576973">
        <w:rPr>
          <w:lang w:eastAsia="en-GB"/>
        </w:rPr>
        <w:t xml:space="preserve"> </w:t>
      </w:r>
    </w:p>
    <w:p w14:paraId="57D4C0DE" w14:textId="3BDBB2AB" w:rsidR="001C3357" w:rsidRPr="00576973" w:rsidRDefault="00DF0E6E" w:rsidP="00E8793C">
      <w:pPr>
        <w:pStyle w:val="EHRMajorheading"/>
      </w:pPr>
      <w:r w:rsidRPr="00576973">
        <w:rPr>
          <w:lang w:eastAsia="en-GB"/>
        </w:rPr>
        <w:t xml:space="preserve"> </w:t>
      </w:r>
      <w:bookmarkStart w:id="9" w:name="_Toc90912827"/>
      <w:bookmarkStart w:id="10" w:name="_Toc228375936"/>
      <w:bookmarkEnd w:id="9"/>
      <w:r w:rsidR="004169F4">
        <w:t>Fees and Charges</w:t>
      </w:r>
      <w:bookmarkEnd w:id="10"/>
      <w:r w:rsidR="004169F4">
        <w:t xml:space="preserve"> </w:t>
      </w:r>
    </w:p>
    <w:p w14:paraId="17F7FA10" w14:textId="032AF394" w:rsidR="001C3357" w:rsidRPr="00576973" w:rsidRDefault="004169F4" w:rsidP="00166586">
      <w:pPr>
        <w:pStyle w:val="EHR-Sub-heading1"/>
      </w:pPr>
      <w:bookmarkStart w:id="11" w:name="_Toc228375937"/>
      <w:r>
        <w:t>HMO Licensing</w:t>
      </w:r>
      <w:bookmarkEnd w:id="11"/>
    </w:p>
    <w:p w14:paraId="7788E952" w14:textId="4B89072B" w:rsidR="004169F4" w:rsidRDefault="00BA50CB" w:rsidP="004169F4">
      <w:pPr>
        <w:pStyle w:val="EHRBodytext"/>
      </w:pPr>
      <w:r>
        <w:t>2</w:t>
      </w:r>
      <w:r w:rsidR="00A922C3" w:rsidRPr="00576973">
        <w:t>.1.1</w:t>
      </w:r>
      <w:r w:rsidR="00A922C3" w:rsidRPr="00576973">
        <w:tab/>
      </w:r>
      <w:r w:rsidR="004169F4">
        <w:t>Mid Devon currently has 17 licenced HMOs within the district. The size of these HMOs ranges from town houses with 4 letting units through to a large complex property consisting of 23 letting units and 31 occupants.</w:t>
      </w:r>
    </w:p>
    <w:p w14:paraId="77E4ED3A" w14:textId="2E60AB9F" w:rsidR="004169F4" w:rsidRDefault="00BA50CB" w:rsidP="004169F4">
      <w:pPr>
        <w:pStyle w:val="EHRBodytext"/>
      </w:pPr>
      <w:r>
        <w:t>2.1.2</w:t>
      </w:r>
      <w:r w:rsidR="004169F4">
        <w:t xml:space="preserve"> </w:t>
      </w:r>
      <w:r w:rsidR="004169F4">
        <w:tab/>
        <w:t>Section 63(3) of the 2004 Act gives the Council the power to recover all reasonable costs associated with the administration of the HMO licensing function.</w:t>
      </w:r>
    </w:p>
    <w:p w14:paraId="47198CA6" w14:textId="65AFE6D2" w:rsidR="004169F4" w:rsidRDefault="00BA50CB" w:rsidP="004169F4">
      <w:pPr>
        <w:pStyle w:val="EHRBodytext"/>
      </w:pPr>
      <w:r>
        <w:t>2.1.3</w:t>
      </w:r>
      <w:r w:rsidR="004169F4">
        <w:t xml:space="preserve"> </w:t>
      </w:r>
      <w:r w:rsidR="004169F4">
        <w:tab/>
        <w:t>The officer time and resources necessary to process new applications and renewals varies greatly depending on factors, such as the size of the property. It is considered appropriate to set an application fee relevant to the number of units proposed on the licence</w:t>
      </w:r>
      <w:r w:rsidR="00E8793C">
        <w:t xml:space="preserve"> where a larger property is likely to be </w:t>
      </w:r>
      <w:r w:rsidR="004D2486">
        <w:t xml:space="preserve">more </w:t>
      </w:r>
      <w:r w:rsidR="00E8793C">
        <w:t>complex to assess than a smaller property</w:t>
      </w:r>
      <w:r w:rsidR="004169F4">
        <w:t>.</w:t>
      </w:r>
    </w:p>
    <w:p w14:paraId="32D6D1BF" w14:textId="5CA5BF22" w:rsidR="004169F4" w:rsidRDefault="00E8793C" w:rsidP="004169F4">
      <w:pPr>
        <w:pStyle w:val="EHRBodytext"/>
      </w:pPr>
      <w:r>
        <w:lastRenderedPageBreak/>
        <w:t>2.1.4</w:t>
      </w:r>
      <w:r w:rsidR="004169F4">
        <w:t xml:space="preserve"> </w:t>
      </w:r>
      <w:r w:rsidR="004169F4">
        <w:tab/>
        <w:t xml:space="preserve">The application process will be further divided to ensure the Council is acting within its powers. It is considered proportionate to require a percentage of the application fee upfront </w:t>
      </w:r>
      <w:proofErr w:type="gramStart"/>
      <w:r w:rsidR="004169F4">
        <w:t>in order to</w:t>
      </w:r>
      <w:proofErr w:type="gramEnd"/>
      <w:r w:rsidR="004169F4">
        <w:t xml:space="preserve"> deliver the necessary activities associated with issuing the licence proposal (under Schedule 5 Part 1 of the Housing Act 2004). If the proposal proceeds to a licence being issued the remainder of the fee would then be applied.</w:t>
      </w:r>
      <w:r>
        <w:t xml:space="preserve"> </w:t>
      </w:r>
    </w:p>
    <w:p w14:paraId="1F41037E" w14:textId="7A243B36" w:rsidR="001C3357" w:rsidRDefault="00E8793C" w:rsidP="004169F4">
      <w:pPr>
        <w:pStyle w:val="EHRBodytext"/>
      </w:pPr>
      <w:r>
        <w:t xml:space="preserve">2.1.5 </w:t>
      </w:r>
      <w:r>
        <w:tab/>
        <w:t xml:space="preserve">The fee has been split into part one and part two fees. </w:t>
      </w:r>
      <w:r w:rsidR="004169F4">
        <w:t>The relevant activities under each part of the process can be defined as follows:</w:t>
      </w:r>
    </w:p>
    <w:p w14:paraId="6C92BA8D" w14:textId="014119F5" w:rsidR="004169F4" w:rsidRPr="00E8793C" w:rsidRDefault="004169F4" w:rsidP="00E8793C">
      <w:pPr>
        <w:pStyle w:val="EHRBodytext"/>
        <w:ind w:firstLine="0"/>
        <w:rPr>
          <w:b/>
          <w:bCs/>
        </w:rPr>
      </w:pPr>
      <w:r w:rsidRPr="00E8793C">
        <w:rPr>
          <w:b/>
          <w:bCs/>
        </w:rPr>
        <w:t>P</w:t>
      </w:r>
      <w:r w:rsidR="00E8793C" w:rsidRPr="00E8793C">
        <w:rPr>
          <w:b/>
          <w:bCs/>
        </w:rPr>
        <w:t>art One Fee</w:t>
      </w:r>
    </w:p>
    <w:p w14:paraId="540BB752" w14:textId="77777777" w:rsidR="004169F4" w:rsidRDefault="004169F4" w:rsidP="00E8793C">
      <w:pPr>
        <w:pStyle w:val="EHRBodytext"/>
        <w:spacing w:after="0"/>
        <w:ind w:left="2268"/>
      </w:pPr>
      <w:r>
        <w:t xml:space="preserve">Initial stage: </w:t>
      </w:r>
    </w:p>
    <w:p w14:paraId="6084A79E" w14:textId="01C8613C" w:rsidR="004169F4" w:rsidRDefault="004169F4" w:rsidP="00CE0E86">
      <w:pPr>
        <w:pStyle w:val="EHRBodytext"/>
        <w:numPr>
          <w:ilvl w:val="0"/>
          <w:numId w:val="7"/>
        </w:numPr>
        <w:spacing w:after="0"/>
      </w:pPr>
      <w:r>
        <w:t>Enquiry phone call, advice, send out application</w:t>
      </w:r>
    </w:p>
    <w:p w14:paraId="5C1F48A4" w14:textId="5FC53E61" w:rsidR="004169F4" w:rsidRDefault="004169F4" w:rsidP="00CE0E86">
      <w:pPr>
        <w:pStyle w:val="EHRBodytext"/>
        <w:numPr>
          <w:ilvl w:val="0"/>
          <w:numId w:val="7"/>
        </w:numPr>
        <w:spacing w:after="0"/>
      </w:pPr>
      <w:r>
        <w:t>Advice on completing the application</w:t>
      </w:r>
    </w:p>
    <w:p w14:paraId="2B2AB514" w14:textId="77777777" w:rsidR="004169F4" w:rsidRDefault="004169F4" w:rsidP="00E8793C">
      <w:pPr>
        <w:pStyle w:val="EHRBodytext"/>
        <w:spacing w:after="0"/>
        <w:ind w:left="2268"/>
      </w:pPr>
      <w:r>
        <w:t>Processing stage:</w:t>
      </w:r>
    </w:p>
    <w:p w14:paraId="20718B6C" w14:textId="37ECFC86" w:rsidR="004169F4" w:rsidRDefault="004169F4" w:rsidP="00CE0E86">
      <w:pPr>
        <w:pStyle w:val="EHRBodytext"/>
        <w:numPr>
          <w:ilvl w:val="0"/>
          <w:numId w:val="8"/>
        </w:numPr>
        <w:spacing w:after="0"/>
      </w:pPr>
      <w:r>
        <w:t>Application received</w:t>
      </w:r>
    </w:p>
    <w:p w14:paraId="3EFE68D4" w14:textId="19A06E02" w:rsidR="004169F4" w:rsidRDefault="004169F4" w:rsidP="00CE0E86">
      <w:pPr>
        <w:pStyle w:val="EHRBodytext"/>
        <w:numPr>
          <w:ilvl w:val="0"/>
          <w:numId w:val="8"/>
        </w:numPr>
        <w:spacing w:after="0"/>
      </w:pPr>
      <w:r>
        <w:t>log application on system</w:t>
      </w:r>
    </w:p>
    <w:p w14:paraId="41086881" w14:textId="3AA90796" w:rsidR="004169F4" w:rsidRDefault="004169F4" w:rsidP="00CE0E86">
      <w:pPr>
        <w:pStyle w:val="EHRBodytext"/>
        <w:numPr>
          <w:ilvl w:val="0"/>
          <w:numId w:val="8"/>
        </w:numPr>
        <w:spacing w:after="0"/>
      </w:pPr>
      <w:r>
        <w:t>Check and validate the application and attachments</w:t>
      </w:r>
    </w:p>
    <w:p w14:paraId="7A9DEE62" w14:textId="0194DC90" w:rsidR="004169F4" w:rsidRDefault="004169F4" w:rsidP="00CE0E86">
      <w:pPr>
        <w:pStyle w:val="EHRBodytext"/>
        <w:numPr>
          <w:ilvl w:val="0"/>
          <w:numId w:val="8"/>
        </w:numPr>
        <w:spacing w:after="0"/>
      </w:pPr>
      <w:r>
        <w:t>Chase for missing documents</w:t>
      </w:r>
    </w:p>
    <w:p w14:paraId="17CF176C" w14:textId="46DE3656" w:rsidR="004169F4" w:rsidRDefault="004169F4" w:rsidP="00CE0E86">
      <w:pPr>
        <w:pStyle w:val="EHRBodytext"/>
        <w:numPr>
          <w:ilvl w:val="0"/>
          <w:numId w:val="8"/>
        </w:numPr>
        <w:spacing w:after="0"/>
      </w:pPr>
      <w:r>
        <w:t>Prepare proposed licence and conditions</w:t>
      </w:r>
    </w:p>
    <w:p w14:paraId="7EC23A69" w14:textId="55D759A8" w:rsidR="004169F4" w:rsidRDefault="004169F4" w:rsidP="00CE0E86">
      <w:pPr>
        <w:pStyle w:val="EHRBodytext"/>
        <w:numPr>
          <w:ilvl w:val="0"/>
          <w:numId w:val="8"/>
        </w:numPr>
        <w:spacing w:after="0"/>
      </w:pPr>
      <w:r>
        <w:t>Prepare proposed schedule of works</w:t>
      </w:r>
    </w:p>
    <w:p w14:paraId="7C47C67A" w14:textId="41977439" w:rsidR="004169F4" w:rsidRDefault="004169F4" w:rsidP="00CE0E86">
      <w:pPr>
        <w:pStyle w:val="EHRBodytext"/>
        <w:numPr>
          <w:ilvl w:val="0"/>
          <w:numId w:val="8"/>
        </w:numPr>
        <w:spacing w:after="0"/>
      </w:pPr>
      <w:r>
        <w:t>Proposal checked by lead officer</w:t>
      </w:r>
    </w:p>
    <w:p w14:paraId="68962BBB" w14:textId="6A5281A7" w:rsidR="004169F4" w:rsidRDefault="004169F4" w:rsidP="00CE0E86">
      <w:pPr>
        <w:pStyle w:val="EHRBodytext"/>
        <w:numPr>
          <w:ilvl w:val="0"/>
          <w:numId w:val="8"/>
        </w:numPr>
        <w:spacing w:after="0"/>
      </w:pPr>
      <w:r>
        <w:t>Prepare Proposal Notice</w:t>
      </w:r>
    </w:p>
    <w:p w14:paraId="6418970C" w14:textId="7A44C06D" w:rsidR="004169F4" w:rsidRDefault="004169F4" w:rsidP="00CE0E86">
      <w:pPr>
        <w:pStyle w:val="EHRBodytext"/>
        <w:numPr>
          <w:ilvl w:val="0"/>
          <w:numId w:val="8"/>
        </w:numPr>
        <w:spacing w:after="0"/>
      </w:pPr>
      <w:r>
        <w:t>Service of notice and proposal on applicant and all interested parties</w:t>
      </w:r>
    </w:p>
    <w:p w14:paraId="1E6799B4" w14:textId="3A9710DB" w:rsidR="004169F4" w:rsidRDefault="004169F4" w:rsidP="00CE0E86">
      <w:pPr>
        <w:pStyle w:val="EHRBodytext"/>
        <w:numPr>
          <w:ilvl w:val="0"/>
          <w:numId w:val="8"/>
        </w:numPr>
        <w:spacing w:after="0"/>
      </w:pPr>
      <w:r>
        <w:t>Receive and consider representations</w:t>
      </w:r>
    </w:p>
    <w:p w14:paraId="5F79E729" w14:textId="77777777" w:rsidR="004169F4" w:rsidRDefault="004169F4" w:rsidP="00E8793C">
      <w:pPr>
        <w:pStyle w:val="EHRBodytext"/>
        <w:spacing w:after="0"/>
        <w:ind w:left="2268"/>
      </w:pPr>
      <w:r>
        <w:t>Costs stage:</w:t>
      </w:r>
    </w:p>
    <w:p w14:paraId="62A60BE6" w14:textId="705D247B" w:rsidR="004169F4" w:rsidRDefault="004169F4" w:rsidP="00CE0E86">
      <w:pPr>
        <w:pStyle w:val="EHRBodytext"/>
        <w:numPr>
          <w:ilvl w:val="0"/>
          <w:numId w:val="9"/>
        </w:numPr>
        <w:spacing w:after="0"/>
      </w:pPr>
      <w:r>
        <w:t>Miscellaneous costs (including printing, postage, publicity to assist compliance)</w:t>
      </w:r>
    </w:p>
    <w:p w14:paraId="44597BA0" w14:textId="52D98BB3" w:rsidR="004169F4" w:rsidRPr="00E8793C" w:rsidRDefault="004169F4" w:rsidP="00E8793C">
      <w:pPr>
        <w:pStyle w:val="EHRBodytext"/>
        <w:ind w:left="2268"/>
        <w:rPr>
          <w:b/>
          <w:bCs/>
        </w:rPr>
      </w:pPr>
      <w:r w:rsidRPr="00E8793C">
        <w:rPr>
          <w:b/>
          <w:bCs/>
        </w:rPr>
        <w:t>P</w:t>
      </w:r>
      <w:r w:rsidR="00E8793C" w:rsidRPr="00E8793C">
        <w:rPr>
          <w:b/>
          <w:bCs/>
        </w:rPr>
        <w:t xml:space="preserve">art </w:t>
      </w:r>
      <w:r w:rsidRPr="00E8793C">
        <w:rPr>
          <w:b/>
          <w:bCs/>
        </w:rPr>
        <w:t>T</w:t>
      </w:r>
      <w:r w:rsidR="00E8793C" w:rsidRPr="00E8793C">
        <w:rPr>
          <w:b/>
          <w:bCs/>
        </w:rPr>
        <w:t>wo Fee</w:t>
      </w:r>
    </w:p>
    <w:p w14:paraId="37E888BC" w14:textId="77777777" w:rsidR="004169F4" w:rsidRDefault="004169F4" w:rsidP="0087004C">
      <w:pPr>
        <w:pStyle w:val="EHRBodytext"/>
        <w:spacing w:after="0"/>
        <w:ind w:left="2268"/>
      </w:pPr>
      <w:r>
        <w:t>Issue stage:</w:t>
      </w:r>
    </w:p>
    <w:p w14:paraId="6ED26571" w14:textId="460316A3" w:rsidR="004169F4" w:rsidRDefault="004169F4" w:rsidP="00CE0E86">
      <w:pPr>
        <w:pStyle w:val="EHRBodytext"/>
        <w:numPr>
          <w:ilvl w:val="0"/>
          <w:numId w:val="9"/>
        </w:numPr>
        <w:spacing w:after="0"/>
        <w:ind w:left="2517" w:hanging="357"/>
      </w:pPr>
      <w:r>
        <w:t>Prepare changes to proposed licence, conditions and schedule of works</w:t>
      </w:r>
    </w:p>
    <w:p w14:paraId="188A9564" w14:textId="2AECB6E1" w:rsidR="004169F4" w:rsidRDefault="004169F4" w:rsidP="00CE0E86">
      <w:pPr>
        <w:pStyle w:val="EHRBodytext"/>
        <w:numPr>
          <w:ilvl w:val="0"/>
          <w:numId w:val="9"/>
        </w:numPr>
        <w:spacing w:after="0"/>
        <w:ind w:left="2517" w:hanging="357"/>
      </w:pPr>
      <w:r>
        <w:t>Service of notice and further proposal</w:t>
      </w:r>
    </w:p>
    <w:p w14:paraId="1791E231" w14:textId="20E43F72" w:rsidR="004169F4" w:rsidRDefault="004169F4" w:rsidP="00CE0E86">
      <w:pPr>
        <w:pStyle w:val="EHRBodytext"/>
        <w:numPr>
          <w:ilvl w:val="0"/>
          <w:numId w:val="9"/>
        </w:numPr>
        <w:spacing w:after="0"/>
        <w:ind w:left="2517" w:hanging="357"/>
      </w:pPr>
      <w:r>
        <w:t>Receive and consider further representation</w:t>
      </w:r>
    </w:p>
    <w:p w14:paraId="529F2281" w14:textId="398B42EE" w:rsidR="004169F4" w:rsidRDefault="004169F4" w:rsidP="00CE0E86">
      <w:pPr>
        <w:pStyle w:val="EHRBodytext"/>
        <w:numPr>
          <w:ilvl w:val="0"/>
          <w:numId w:val="9"/>
        </w:numPr>
        <w:spacing w:after="0"/>
        <w:ind w:left="2517" w:hanging="357"/>
      </w:pPr>
      <w:r>
        <w:t>Service of Notice and full licence</w:t>
      </w:r>
    </w:p>
    <w:p w14:paraId="7619EEAA" w14:textId="77777777" w:rsidR="004169F4" w:rsidRDefault="004169F4" w:rsidP="0087004C">
      <w:pPr>
        <w:pStyle w:val="EHRBodytext"/>
        <w:spacing w:after="0"/>
        <w:ind w:left="2268"/>
      </w:pPr>
      <w:r>
        <w:t>Costs stage:</w:t>
      </w:r>
    </w:p>
    <w:p w14:paraId="5BE5D67C" w14:textId="3436A489" w:rsidR="004169F4" w:rsidRDefault="004169F4" w:rsidP="00CE0E86">
      <w:pPr>
        <w:pStyle w:val="EHRBodytext"/>
        <w:numPr>
          <w:ilvl w:val="0"/>
          <w:numId w:val="10"/>
        </w:numPr>
        <w:spacing w:after="0"/>
      </w:pPr>
      <w:r>
        <w:t>Miscellaneous costs (including printing, postage, publicity to assist compliance)</w:t>
      </w:r>
    </w:p>
    <w:p w14:paraId="3A14FEEF" w14:textId="77777777" w:rsidR="00666A84" w:rsidRDefault="00666A84" w:rsidP="004169F4">
      <w:pPr>
        <w:pStyle w:val="EHRBodytext"/>
      </w:pPr>
    </w:p>
    <w:p w14:paraId="0F7C4481" w14:textId="1FFCCE80" w:rsidR="004169F4" w:rsidRPr="00576973" w:rsidRDefault="0087004C" w:rsidP="004169F4">
      <w:pPr>
        <w:pStyle w:val="EHRBodytext"/>
      </w:pPr>
      <w:r>
        <w:t>2.1.6</w:t>
      </w:r>
      <w:r w:rsidR="004169F4">
        <w:t xml:space="preserve"> </w:t>
      </w:r>
      <w:r w:rsidR="004169F4">
        <w:tab/>
        <w:t xml:space="preserve">The renewal of an existing licence will be processed in a similar </w:t>
      </w:r>
      <w:proofErr w:type="gramStart"/>
      <w:r w:rsidR="004169F4">
        <w:t>way</w:t>
      </w:r>
      <w:proofErr w:type="gramEnd"/>
      <w:r w:rsidR="004169F4">
        <w:t xml:space="preserve"> </w:t>
      </w:r>
      <w:r w:rsidR="00666A84">
        <w:t xml:space="preserve">but the </w:t>
      </w:r>
      <w:r w:rsidR="004169F4">
        <w:t>licence fee</w:t>
      </w:r>
      <w:r w:rsidR="00666A84">
        <w:t xml:space="preserve"> will not be split</w:t>
      </w:r>
      <w:r w:rsidR="004169F4">
        <w:t xml:space="preserve">. The applicant will already be aware that their property is licensable and have </w:t>
      </w:r>
      <w:proofErr w:type="gramStart"/>
      <w:r w:rsidR="004169F4">
        <w:t>the majority of</w:t>
      </w:r>
      <w:proofErr w:type="gramEnd"/>
      <w:r w:rsidR="004169F4">
        <w:t xml:space="preserve"> the necessary documentation to proceed. The full fee should be charged upfront.</w:t>
      </w:r>
    </w:p>
    <w:p w14:paraId="1C2FBDC9" w14:textId="4547F1EB" w:rsidR="001C3357" w:rsidRPr="00576973" w:rsidRDefault="004169F4" w:rsidP="00166586">
      <w:pPr>
        <w:pStyle w:val="EHR-Sub-heading1"/>
      </w:pPr>
      <w:bookmarkStart w:id="12" w:name="_Toc228375938"/>
      <w:r>
        <w:t>Mandatory HMO Licensing Public Register</w:t>
      </w:r>
      <w:bookmarkEnd w:id="12"/>
    </w:p>
    <w:p w14:paraId="61EB7B71" w14:textId="67956895" w:rsidR="004169F4" w:rsidRDefault="0087004C" w:rsidP="004169F4">
      <w:pPr>
        <w:pStyle w:val="EHRBodytext"/>
      </w:pPr>
      <w:r>
        <w:lastRenderedPageBreak/>
        <w:t>2</w:t>
      </w:r>
      <w:r w:rsidR="00A922C3" w:rsidRPr="00576973">
        <w:t>.2.1</w:t>
      </w:r>
      <w:r w:rsidR="00A922C3" w:rsidRPr="00576973">
        <w:tab/>
      </w:r>
      <w:r w:rsidR="004169F4">
        <w:t>Section 232 of the Housing Act 2004 allows the council to make a reasonable fee for supplying a person with a copy of the register if requested.</w:t>
      </w:r>
    </w:p>
    <w:p w14:paraId="6476D410" w14:textId="46087E54" w:rsidR="004169F4" w:rsidRDefault="0087004C" w:rsidP="004169F4">
      <w:pPr>
        <w:pStyle w:val="EHRBodytext"/>
      </w:pPr>
      <w:r>
        <w:t>2.2.2</w:t>
      </w:r>
      <w:r w:rsidR="004169F4">
        <w:t xml:space="preserve"> </w:t>
      </w:r>
      <w:r w:rsidR="004169F4">
        <w:tab/>
        <w:t>A nominal standard administration fee will be charged for providing a copy of the full register in electronic form or hardcopy. The fee is intended to recover costs associated with officer time and printing, postage etc.</w:t>
      </w:r>
    </w:p>
    <w:p w14:paraId="0B745A76" w14:textId="56A335D5" w:rsidR="004169F4" w:rsidRDefault="0087004C" w:rsidP="004169F4">
      <w:pPr>
        <w:pStyle w:val="EHRBodytext"/>
      </w:pPr>
      <w:r>
        <w:t>2.2.3</w:t>
      </w:r>
      <w:r w:rsidR="004169F4">
        <w:t xml:space="preserve"> </w:t>
      </w:r>
      <w:r w:rsidR="004169F4">
        <w:tab/>
        <w:t>An extract from the register will be provided on the council website free of charge.</w:t>
      </w:r>
    </w:p>
    <w:p w14:paraId="58691753" w14:textId="13EA105C" w:rsidR="001C3357" w:rsidRPr="00576973" w:rsidRDefault="004169F4" w:rsidP="004169F4">
      <w:pPr>
        <w:pStyle w:val="EHR-Sub-heading1"/>
      </w:pPr>
      <w:bookmarkStart w:id="13" w:name="_Toc228375939"/>
      <w:r>
        <w:t>Immigration Housing Request Visits</w:t>
      </w:r>
      <w:bookmarkEnd w:id="13"/>
      <w:r>
        <w:t xml:space="preserve"> </w:t>
      </w:r>
    </w:p>
    <w:p w14:paraId="419027B4" w14:textId="77777777" w:rsidR="004169F4" w:rsidRDefault="004169F4" w:rsidP="00CE0E86">
      <w:pPr>
        <w:pStyle w:val="EHRBodytext"/>
        <w:numPr>
          <w:ilvl w:val="2"/>
          <w:numId w:val="2"/>
        </w:numPr>
      </w:pPr>
      <w:r>
        <w:t>Historically applications to live and/or work in the UK have required the local housing authority to undertake an inspection of the proposed living accommodation to check its suitability and ensure there would not be overcrowding. These visits no longer need to be undertaken by the local housing authority as part of an application but occasionally the team will receive a request to carry out a visit and provide a report.</w:t>
      </w:r>
    </w:p>
    <w:p w14:paraId="17CCA582" w14:textId="2766B681" w:rsidR="004169F4" w:rsidRPr="00576973" w:rsidRDefault="004169F4" w:rsidP="00CE0E86">
      <w:pPr>
        <w:pStyle w:val="EHRBodytext"/>
        <w:numPr>
          <w:ilvl w:val="2"/>
          <w:numId w:val="2"/>
        </w:numPr>
      </w:pPr>
      <w:r>
        <w:t xml:space="preserve">The Council will charge for the provision of this service to recover costs including the officer time and resources involved in processing a request, inspection of the property, subsequent assessment and providing a follow up report. </w:t>
      </w:r>
    </w:p>
    <w:p w14:paraId="67F127E0" w14:textId="73EB729A" w:rsidR="003538E8" w:rsidRDefault="004169F4" w:rsidP="004C6FC0">
      <w:pPr>
        <w:pStyle w:val="EHR-Sub-heading1"/>
      </w:pPr>
      <w:bookmarkStart w:id="14" w:name="_Toc228375940"/>
      <w:r>
        <w:t>Carrying out works with or without agreement (work in default)</w:t>
      </w:r>
      <w:bookmarkEnd w:id="14"/>
      <w:r>
        <w:t xml:space="preserve"> </w:t>
      </w:r>
    </w:p>
    <w:p w14:paraId="73A2497A" w14:textId="3B32683D" w:rsidR="00A15F6E" w:rsidRDefault="0087004C" w:rsidP="00A15F6E">
      <w:pPr>
        <w:pStyle w:val="EHRBodytext"/>
      </w:pPr>
      <w:r>
        <w:t xml:space="preserve">2.4.1 </w:t>
      </w:r>
      <w:r>
        <w:tab/>
      </w:r>
      <w:r w:rsidR="00A15F6E">
        <w:t xml:space="preserve">Provisions contained in Schedule 3 of the Housing Act 2004 gives powers to the local authority to carry out works itself, either by agreement of the responsible person or </w:t>
      </w:r>
      <w:proofErr w:type="gramStart"/>
      <w:r w:rsidR="00A15F6E">
        <w:t>as a result of</w:t>
      </w:r>
      <w:proofErr w:type="gramEnd"/>
      <w:r w:rsidR="00A15F6E">
        <w:t xml:space="preserve"> non-compliance with a notice. Part 3 </w:t>
      </w:r>
      <w:r w:rsidR="00666A84">
        <w:t xml:space="preserve">of the Act </w:t>
      </w:r>
      <w:r w:rsidR="00A15F6E">
        <w:t xml:space="preserve">allows the Council to recover expenses reasonably incurred by taking the action including the cost of the works themselves. </w:t>
      </w:r>
    </w:p>
    <w:p w14:paraId="2725F167" w14:textId="09B30C51" w:rsidR="00A15F6E" w:rsidRDefault="0087004C" w:rsidP="00A15F6E">
      <w:pPr>
        <w:pStyle w:val="EHRBodytext"/>
      </w:pPr>
      <w:r>
        <w:t>2.4.2</w:t>
      </w:r>
      <w:r w:rsidR="00A15F6E">
        <w:tab/>
        <w:t>An administrative fee will be charged in all cases to cover costs for arranging works and service of the appropriate notices.</w:t>
      </w:r>
    </w:p>
    <w:p w14:paraId="3363B0BF" w14:textId="466BAED1" w:rsidR="00A15F6E" w:rsidRDefault="0087004C" w:rsidP="00A15F6E">
      <w:pPr>
        <w:pStyle w:val="EHRBodytext"/>
      </w:pPr>
      <w:r>
        <w:t>2.4.3</w:t>
      </w:r>
      <w:r w:rsidR="00A15F6E">
        <w:tab/>
        <w:t xml:space="preserve">The costs will be recovered by formal demand for payment and accompanying invoice.  </w:t>
      </w:r>
    </w:p>
    <w:p w14:paraId="702F34A0" w14:textId="4A5A4EFF" w:rsidR="00A15F6E" w:rsidRDefault="0087004C" w:rsidP="00A15F6E">
      <w:pPr>
        <w:pStyle w:val="EHRBodytext"/>
      </w:pPr>
      <w:r>
        <w:t>2.4.4</w:t>
      </w:r>
      <w:r w:rsidR="00A15F6E">
        <w:tab/>
        <w:t>Where the demand remains unpaid after the initial 28 days, interest on all costs associated with carrying out works, including the cost of the work itself, will be applied at 3% per annum.</w:t>
      </w:r>
      <w:r w:rsidR="00666A84">
        <w:t xml:space="preserve"> The interest will be reviewed annually as part of the Council’s fee setting process.</w:t>
      </w:r>
    </w:p>
    <w:p w14:paraId="7B3F7D98" w14:textId="0DA9ABA3" w:rsidR="003538E8" w:rsidRDefault="00A15F6E" w:rsidP="00A15F6E">
      <w:pPr>
        <w:pStyle w:val="EHR-Sub-heading1"/>
      </w:pPr>
      <w:bookmarkStart w:id="15" w:name="_Toc228375941"/>
      <w:r>
        <w:t>Charging for Enforcement Action</w:t>
      </w:r>
      <w:bookmarkEnd w:id="15"/>
    </w:p>
    <w:p w14:paraId="0D7573FE" w14:textId="07D7B566" w:rsidR="00A15F6E" w:rsidRDefault="0087004C" w:rsidP="0087004C">
      <w:pPr>
        <w:pStyle w:val="EHRBodytext"/>
        <w:rPr>
          <w:rFonts w:eastAsia="Arial"/>
          <w:color w:val="1E1E1E"/>
        </w:rPr>
      </w:pPr>
      <w:r>
        <w:rPr>
          <w:rFonts w:eastAsia="Arial"/>
          <w:color w:val="1E1E1E"/>
        </w:rPr>
        <w:t xml:space="preserve">2.5.1 </w:t>
      </w:r>
      <w:r>
        <w:rPr>
          <w:rFonts w:eastAsia="Arial"/>
          <w:color w:val="1E1E1E"/>
        </w:rPr>
        <w:tab/>
      </w:r>
      <w:r w:rsidR="00A15F6E" w:rsidRPr="00A15F6E">
        <w:rPr>
          <w:rFonts w:eastAsia="Arial"/>
          <w:color w:val="1E1E1E"/>
        </w:rPr>
        <w:t>The Housing Act 2004 section 49 gives the local housing authority the power to charge for certain enforcement actions. The provisions are clear that only the costs associated with determining whether enforcement action is necessary, identifying the type of action and the serving of the notice can be recovered.</w:t>
      </w:r>
    </w:p>
    <w:p w14:paraId="4DDB43A9" w14:textId="557A6610" w:rsidR="00A15F6E" w:rsidRDefault="00A15F6E" w:rsidP="00A15F6E">
      <w:pPr>
        <w:pStyle w:val="EHR-Sub-heading1"/>
      </w:pPr>
      <w:bookmarkStart w:id="16" w:name="_Toc228375942"/>
      <w:r>
        <w:lastRenderedPageBreak/>
        <w:t>Setting the Fee</w:t>
      </w:r>
      <w:bookmarkEnd w:id="16"/>
    </w:p>
    <w:p w14:paraId="083C91B4" w14:textId="12CB9E0C" w:rsidR="00A15F6E" w:rsidRDefault="0087004C" w:rsidP="00A15F6E">
      <w:pPr>
        <w:pStyle w:val="EHRBodytext"/>
      </w:pPr>
      <w:r>
        <w:t>2.6.1</w:t>
      </w:r>
      <w:r w:rsidR="00A15F6E">
        <w:tab/>
        <w:t xml:space="preserve">All charges must be reasonable and there is currently no set maximum fee applicable under the legislation. </w:t>
      </w:r>
    </w:p>
    <w:p w14:paraId="77B21F34" w14:textId="614D0A01" w:rsidR="00A15F6E" w:rsidRDefault="0087004C" w:rsidP="00A15F6E">
      <w:pPr>
        <w:pStyle w:val="EHRBodytext"/>
      </w:pPr>
      <w:r>
        <w:t>2.6.2</w:t>
      </w:r>
      <w:r w:rsidR="00A15F6E">
        <w:tab/>
        <w:t>The amount of officer time involved in each course of action is difficult to predict as each intervention will present a unique set of circumstances.  Therefore, the Council will apply a standard fee incorporating average officer time and resources for carrying out the function.</w:t>
      </w:r>
    </w:p>
    <w:p w14:paraId="15AA560F" w14:textId="4BE9DEA7" w:rsidR="00A15F6E" w:rsidRDefault="0087004C" w:rsidP="00A15F6E">
      <w:pPr>
        <w:pStyle w:val="EHRBodytext"/>
      </w:pPr>
      <w:r>
        <w:t xml:space="preserve">2.6.3 </w:t>
      </w:r>
      <w:r>
        <w:tab/>
      </w:r>
      <w:r w:rsidR="00A15F6E">
        <w:t>All enforcement activities and relevant fees and charges are set out in compliance with the legislation and the Public Health Services Enforcement Policy number PH/EP/09/20, adopted in January 2021.</w:t>
      </w:r>
    </w:p>
    <w:p w14:paraId="171616A4" w14:textId="5BCDA91F" w:rsidR="00A15F6E" w:rsidRDefault="0087004C" w:rsidP="00A15F6E">
      <w:pPr>
        <w:pStyle w:val="EHRBodytext"/>
      </w:pPr>
      <w:r>
        <w:t>2.6.4</w:t>
      </w:r>
      <w:r w:rsidR="00A15F6E">
        <w:t xml:space="preserve"> </w:t>
      </w:r>
      <w:r w:rsidR="00A15F6E">
        <w:tab/>
        <w:t>Officer time is calculated using full on cost hourly salary rates.</w:t>
      </w:r>
    </w:p>
    <w:p w14:paraId="762ACB82" w14:textId="2F2F171B" w:rsidR="00A15F6E" w:rsidRDefault="0087004C" w:rsidP="00A15F6E">
      <w:pPr>
        <w:pStyle w:val="EHRBodytext"/>
      </w:pPr>
      <w:r>
        <w:t>2.6.5</w:t>
      </w:r>
      <w:r w:rsidR="00A15F6E">
        <w:t xml:space="preserve"> </w:t>
      </w:r>
      <w:r w:rsidR="00A15F6E">
        <w:tab/>
        <w:t xml:space="preserve">The table of charges </w:t>
      </w:r>
      <w:r>
        <w:t>will be reviewed annually and</w:t>
      </w:r>
      <w:r w:rsidR="00A15F6E">
        <w:t xml:space="preserve"> will be published on the council website</w:t>
      </w:r>
      <w:r>
        <w:t xml:space="preserve"> in April of each year</w:t>
      </w:r>
      <w:r w:rsidR="00A15F6E">
        <w:t>.</w:t>
      </w:r>
    </w:p>
    <w:p w14:paraId="3167C577" w14:textId="4B948092" w:rsidR="00A15F6E" w:rsidRDefault="00A15F6E" w:rsidP="00A15F6E">
      <w:pPr>
        <w:pStyle w:val="EHR-Sub-heading1"/>
      </w:pPr>
      <w:bookmarkStart w:id="17" w:name="_Toc228375943"/>
      <w:r>
        <w:t>Applying the Fee</w:t>
      </w:r>
      <w:bookmarkEnd w:id="17"/>
      <w:r>
        <w:t xml:space="preserve"> </w:t>
      </w:r>
    </w:p>
    <w:p w14:paraId="20069527" w14:textId="3794AAFF" w:rsidR="00666A84" w:rsidRDefault="00A15F6E" w:rsidP="00666A84">
      <w:pPr>
        <w:pStyle w:val="EHRBodytext"/>
        <w:numPr>
          <w:ilvl w:val="2"/>
          <w:numId w:val="2"/>
        </w:numPr>
      </w:pPr>
      <w:r>
        <w:t xml:space="preserve">The fee will be applied to all enforcement action under part one of the </w:t>
      </w:r>
      <w:r w:rsidR="00666A84">
        <w:t xml:space="preserve">Housing </w:t>
      </w:r>
      <w:r>
        <w:t>Act</w:t>
      </w:r>
      <w:r w:rsidR="00666A84">
        <w:t xml:space="preserve"> 2004. This includes:</w:t>
      </w:r>
    </w:p>
    <w:p w14:paraId="52659E5C" w14:textId="77777777" w:rsidR="00666A84" w:rsidRDefault="00A15F6E" w:rsidP="00666A84">
      <w:pPr>
        <w:pStyle w:val="EHRBodytext"/>
        <w:numPr>
          <w:ilvl w:val="0"/>
          <w:numId w:val="10"/>
        </w:numPr>
        <w:spacing w:after="0"/>
        <w:ind w:left="2517" w:hanging="357"/>
      </w:pPr>
      <w:r>
        <w:t xml:space="preserve">Improvement Notices, </w:t>
      </w:r>
    </w:p>
    <w:p w14:paraId="052535D2" w14:textId="77777777" w:rsidR="00666A84" w:rsidRDefault="00A15F6E" w:rsidP="00666A84">
      <w:pPr>
        <w:pStyle w:val="EHRBodytext"/>
        <w:numPr>
          <w:ilvl w:val="0"/>
          <w:numId w:val="10"/>
        </w:numPr>
        <w:spacing w:after="0"/>
        <w:ind w:left="2517" w:hanging="357"/>
      </w:pPr>
      <w:r>
        <w:t xml:space="preserve">Prohibition Orders, </w:t>
      </w:r>
    </w:p>
    <w:p w14:paraId="169065A3" w14:textId="77777777" w:rsidR="00666A84" w:rsidRDefault="00A15F6E" w:rsidP="00666A84">
      <w:pPr>
        <w:pStyle w:val="EHRBodytext"/>
        <w:numPr>
          <w:ilvl w:val="0"/>
          <w:numId w:val="10"/>
        </w:numPr>
        <w:spacing w:after="0"/>
        <w:ind w:left="2517" w:hanging="357"/>
      </w:pPr>
      <w:r>
        <w:t xml:space="preserve">Emergency Remedial Action, </w:t>
      </w:r>
    </w:p>
    <w:p w14:paraId="2731C687" w14:textId="77777777" w:rsidR="00666A84" w:rsidRDefault="00A15F6E" w:rsidP="00666A84">
      <w:pPr>
        <w:pStyle w:val="EHRBodytext"/>
        <w:numPr>
          <w:ilvl w:val="0"/>
          <w:numId w:val="10"/>
        </w:numPr>
        <w:spacing w:after="0"/>
        <w:ind w:left="2517" w:hanging="357"/>
      </w:pPr>
      <w:r>
        <w:t xml:space="preserve">Emergency Prohibition Orders and </w:t>
      </w:r>
    </w:p>
    <w:p w14:paraId="42F8E096" w14:textId="3C97D0CB" w:rsidR="00A15F6E" w:rsidRDefault="00A15F6E" w:rsidP="00666A84">
      <w:pPr>
        <w:pStyle w:val="EHRBodytext"/>
        <w:numPr>
          <w:ilvl w:val="0"/>
          <w:numId w:val="10"/>
        </w:numPr>
        <w:spacing w:after="0"/>
        <w:ind w:left="2517" w:hanging="357"/>
      </w:pPr>
      <w:r>
        <w:t>Demolition Orders.</w:t>
      </w:r>
    </w:p>
    <w:p w14:paraId="45D98465" w14:textId="77777777" w:rsidR="00666A84" w:rsidRDefault="00666A84" w:rsidP="00666A84">
      <w:pPr>
        <w:pStyle w:val="EHRBodytext"/>
        <w:spacing w:after="0"/>
        <w:ind w:left="2517" w:firstLine="0"/>
      </w:pPr>
    </w:p>
    <w:p w14:paraId="2A2BBBA9" w14:textId="3831A017" w:rsidR="00A15F6E" w:rsidRDefault="0087004C" w:rsidP="00A15F6E">
      <w:pPr>
        <w:pStyle w:val="EHRBodytext"/>
      </w:pPr>
      <w:r>
        <w:t>2.7.2</w:t>
      </w:r>
      <w:r w:rsidR="00A15F6E">
        <w:tab/>
        <w:t xml:space="preserve">The Enforcement Guidance to the Housing Health and Safety Rating System (England) Regulations 2005 (SI 2005 No 3208) advises that in deciding whether to make charges and the level of those charges, the council should take into account the personal circumstances of the person or persons against whom the enforcement action is being taken. </w:t>
      </w:r>
    </w:p>
    <w:p w14:paraId="0CE19D27" w14:textId="59AA7990" w:rsidR="00A15F6E" w:rsidRDefault="0087004C" w:rsidP="00A15F6E">
      <w:pPr>
        <w:pStyle w:val="EHRBodytext"/>
      </w:pPr>
      <w:r>
        <w:t>2.7.3</w:t>
      </w:r>
      <w:r w:rsidR="00A15F6E">
        <w:tab/>
        <w:t>Where discretion is considered this will be determined on an individual basis. The case officer will record the reasons why the fee should be reduced or waived on a decision form which will be reviewed and decided by the Operations Manager.</w:t>
      </w:r>
    </w:p>
    <w:p w14:paraId="50C65E5F" w14:textId="1E04AC16" w:rsidR="00A15F6E" w:rsidRDefault="0087004C" w:rsidP="00A15F6E">
      <w:pPr>
        <w:pStyle w:val="EHRBodytext"/>
      </w:pPr>
      <w:r>
        <w:t>2.7.4</w:t>
      </w:r>
      <w:r w:rsidR="00A15F6E">
        <w:t xml:space="preserve"> </w:t>
      </w:r>
      <w:r w:rsidR="00A15F6E">
        <w:tab/>
        <w:t xml:space="preserve">A charge will not be applied where a hazard awareness notice is considered the most appropriate course of action for low-risk hazards. </w:t>
      </w:r>
      <w:r>
        <w:t xml:space="preserve">As this notice </w:t>
      </w:r>
      <w:r w:rsidR="00A15F6E">
        <w:t>is a formal recommendation of the work to be carried out and there is no penalty for non-compliance or local land charge</w:t>
      </w:r>
      <w:r w:rsidR="009243AB">
        <w:t>,</w:t>
      </w:r>
      <w:r>
        <w:t xml:space="preserve"> a charge for serving the notice is not considered appropriate.</w:t>
      </w:r>
    </w:p>
    <w:p w14:paraId="34C47144" w14:textId="1360D3A5" w:rsidR="00A15F6E" w:rsidRDefault="00A15F6E" w:rsidP="00A15F6E">
      <w:pPr>
        <w:pStyle w:val="EHR-Sub-heading1"/>
      </w:pPr>
      <w:bookmarkStart w:id="18" w:name="_Toc228375944"/>
      <w:r>
        <w:t>Recovering the Fee</w:t>
      </w:r>
      <w:bookmarkEnd w:id="18"/>
    </w:p>
    <w:p w14:paraId="72C0D38C" w14:textId="513E6909" w:rsidR="00A15F6E" w:rsidRDefault="009243AB" w:rsidP="00A15F6E">
      <w:pPr>
        <w:pStyle w:val="EHRBodytext"/>
      </w:pPr>
      <w:r>
        <w:lastRenderedPageBreak/>
        <w:t xml:space="preserve">2.8.1 </w:t>
      </w:r>
      <w:r>
        <w:tab/>
      </w:r>
      <w:r w:rsidR="00A15F6E">
        <w:t>Where an Improvement Notice is served a demand for payment of the fee will only be applied in the case of non-compliance. Taking this approach encourages compliance with notice requirements and will improve housing standards generally.</w:t>
      </w:r>
    </w:p>
    <w:p w14:paraId="602A1BC6" w14:textId="1121350E" w:rsidR="00A15F6E" w:rsidRDefault="009243AB" w:rsidP="00A15F6E">
      <w:pPr>
        <w:pStyle w:val="EHRBodytext"/>
      </w:pPr>
      <w:r>
        <w:t>2.8.2</w:t>
      </w:r>
      <w:r w:rsidR="00A15F6E">
        <w:t xml:space="preserve"> </w:t>
      </w:r>
      <w:r w:rsidR="00A15F6E">
        <w:tab/>
        <w:t xml:space="preserve">A demand for payment of the fee will be applied upon service of prohibition orders, emergency remedial action notices and emergency prohibition orders. </w:t>
      </w:r>
    </w:p>
    <w:p w14:paraId="679901EF" w14:textId="4B1149A8" w:rsidR="00A15F6E" w:rsidRPr="00A15F6E" w:rsidRDefault="009243AB" w:rsidP="00A15F6E">
      <w:pPr>
        <w:pStyle w:val="EHRBodytext"/>
      </w:pPr>
      <w:r>
        <w:t>2.8.3</w:t>
      </w:r>
      <w:r w:rsidR="00A15F6E">
        <w:tab/>
        <w:t>Demolition orders will be charged the fee upon service. The demand will also include the professional survey cost that is incurred as part of the serving of the order.</w:t>
      </w:r>
    </w:p>
    <w:p w14:paraId="7FE47065" w14:textId="0F22D920" w:rsidR="00AD7359" w:rsidRPr="00576973" w:rsidRDefault="00CB697D" w:rsidP="00AD7359">
      <w:pPr>
        <w:pStyle w:val="EHRMajorheading"/>
        <w:rPr>
          <w:lang w:eastAsia="en-GB"/>
        </w:rPr>
      </w:pPr>
      <w:bookmarkStart w:id="19" w:name="_Toc90912832"/>
      <w:bookmarkStart w:id="20" w:name="_Toc228375945"/>
      <w:bookmarkEnd w:id="19"/>
      <w:r>
        <w:rPr>
          <w:lang w:eastAsia="en-GB"/>
        </w:rPr>
        <w:t>Financial Penalties</w:t>
      </w:r>
      <w:bookmarkEnd w:id="20"/>
      <w:r>
        <w:rPr>
          <w:lang w:eastAsia="en-GB"/>
        </w:rPr>
        <w:t xml:space="preserve"> </w:t>
      </w:r>
    </w:p>
    <w:p w14:paraId="3269D79D" w14:textId="78CFDD00" w:rsidR="004C6FC0" w:rsidRDefault="00CB697D" w:rsidP="004C6FC0">
      <w:pPr>
        <w:pStyle w:val="EHR-Sub-heading1"/>
        <w:rPr>
          <w:lang w:eastAsia="en-GB"/>
        </w:rPr>
      </w:pPr>
      <w:bookmarkStart w:id="21" w:name="_Toc228375946"/>
      <w:r w:rsidRPr="00CB697D">
        <w:rPr>
          <w:lang w:eastAsia="en-GB"/>
        </w:rPr>
        <w:t>Financial penalties for offences and breaches of the Renters’ Rights Act 2025</w:t>
      </w:r>
      <w:bookmarkEnd w:id="21"/>
    </w:p>
    <w:p w14:paraId="75D404A5" w14:textId="40FD0F78" w:rsidR="00CB697D" w:rsidRDefault="009243AB" w:rsidP="00CB697D">
      <w:pPr>
        <w:pStyle w:val="EHRBodytext"/>
        <w:rPr>
          <w:lang w:eastAsia="en-GB"/>
        </w:rPr>
      </w:pPr>
      <w:r>
        <w:rPr>
          <w:lang w:eastAsia="en-GB"/>
        </w:rPr>
        <w:t>3.1.1</w:t>
      </w:r>
      <w:r w:rsidR="001A1D25" w:rsidRPr="00576973">
        <w:rPr>
          <w:lang w:eastAsia="en-GB"/>
        </w:rPr>
        <w:tab/>
      </w:r>
      <w:r w:rsidRPr="009243AB">
        <w:rPr>
          <w:lang w:eastAsia="en-GB"/>
        </w:rPr>
        <w:t>The Financial Penalties (Housing Offences and Breach of Banning Orders) Regulations 2026</w:t>
      </w:r>
      <w:r>
        <w:rPr>
          <w:lang w:eastAsia="en-GB"/>
        </w:rPr>
        <w:t xml:space="preserve"> came into force on 1</w:t>
      </w:r>
      <w:r w:rsidRPr="009243AB">
        <w:rPr>
          <w:vertAlign w:val="superscript"/>
          <w:lang w:eastAsia="en-GB"/>
        </w:rPr>
        <w:t>st</w:t>
      </w:r>
      <w:r>
        <w:rPr>
          <w:lang w:eastAsia="en-GB"/>
        </w:rPr>
        <w:t xml:space="preserve"> May 2026 </w:t>
      </w:r>
      <w:r w:rsidR="00CB697D">
        <w:rPr>
          <w:lang w:eastAsia="en-GB"/>
        </w:rPr>
        <w:t>increasing the maximum financial penalty for offences under section 249A of the Housing Act 2004 and section 23 of the Housing and Planning Act 2016 from £30,000 to £40,000</w:t>
      </w:r>
      <w:r>
        <w:rPr>
          <w:lang w:eastAsia="en-GB"/>
        </w:rPr>
        <w:t>.</w:t>
      </w:r>
    </w:p>
    <w:p w14:paraId="14C5F61C" w14:textId="0537A3D9" w:rsidR="00CB697D" w:rsidRDefault="009243AB" w:rsidP="00CB697D">
      <w:pPr>
        <w:pStyle w:val="EHRBodytext"/>
        <w:rPr>
          <w:lang w:eastAsia="en-GB"/>
        </w:rPr>
      </w:pPr>
      <w:r>
        <w:rPr>
          <w:lang w:eastAsia="en-GB"/>
        </w:rPr>
        <w:t xml:space="preserve">3.1.2 </w:t>
      </w:r>
      <w:r>
        <w:rPr>
          <w:lang w:eastAsia="en-GB"/>
        </w:rPr>
        <w:tab/>
      </w:r>
      <w:r w:rsidR="00CB697D">
        <w:rPr>
          <w:lang w:eastAsia="en-GB"/>
        </w:rPr>
        <w:t xml:space="preserve">Where penalties are issued for existing offences </w:t>
      </w:r>
      <w:r>
        <w:rPr>
          <w:lang w:eastAsia="en-GB"/>
        </w:rPr>
        <w:t xml:space="preserve">under </w:t>
      </w:r>
      <w:r w:rsidR="00CB697D">
        <w:rPr>
          <w:lang w:eastAsia="en-GB"/>
        </w:rPr>
        <w:t xml:space="preserve">249A of the Housing Act 2004 and section 23 of the Housing and Planning Act 2016 which the authority determine are committed prior to </w:t>
      </w:r>
      <w:r w:rsidR="00666A84">
        <w:rPr>
          <w:lang w:eastAsia="en-GB"/>
        </w:rPr>
        <w:t xml:space="preserve">the </w:t>
      </w:r>
      <w:proofErr w:type="gramStart"/>
      <w:r w:rsidR="00666A84">
        <w:rPr>
          <w:lang w:eastAsia="en-GB"/>
        </w:rPr>
        <w:t>1</w:t>
      </w:r>
      <w:r w:rsidR="00666A84" w:rsidRPr="00666A84">
        <w:rPr>
          <w:vertAlign w:val="superscript"/>
          <w:lang w:eastAsia="en-GB"/>
        </w:rPr>
        <w:t>st</w:t>
      </w:r>
      <w:proofErr w:type="gramEnd"/>
      <w:r w:rsidR="00666A84">
        <w:rPr>
          <w:lang w:eastAsia="en-GB"/>
        </w:rPr>
        <w:t xml:space="preserve"> May 2026</w:t>
      </w:r>
      <w:r w:rsidR="00CB697D">
        <w:rPr>
          <w:lang w:eastAsia="en-GB"/>
        </w:rPr>
        <w:t>, the adopted civil penalty policy v4.1 will apply.</w:t>
      </w:r>
    </w:p>
    <w:p w14:paraId="7352DD77" w14:textId="637240D7" w:rsidR="00CB697D" w:rsidRDefault="009243AB" w:rsidP="00CB697D">
      <w:pPr>
        <w:pStyle w:val="EHRBodytext"/>
        <w:rPr>
          <w:lang w:eastAsia="en-GB"/>
        </w:rPr>
      </w:pPr>
      <w:r>
        <w:rPr>
          <w:lang w:eastAsia="en-GB"/>
        </w:rPr>
        <w:t xml:space="preserve">3.1.3 </w:t>
      </w:r>
      <w:r>
        <w:rPr>
          <w:lang w:eastAsia="en-GB"/>
        </w:rPr>
        <w:tab/>
      </w:r>
      <w:r w:rsidR="00CB697D">
        <w:rPr>
          <w:lang w:eastAsia="en-GB"/>
        </w:rPr>
        <w:t>The Renters’ Rights Act 2025 introduces significant reforms to the private rented sector, alongside a statutory duty on local housing authorities to enforce landlord legislation.  In accordance with section 40 and section 57 of the Renters’ Rights Act 2025, the Council must have regard to the statutory guidance when setting civil penalties and determining their amount</w:t>
      </w:r>
    </w:p>
    <w:p w14:paraId="7DD6E52A" w14:textId="7731DF1E" w:rsidR="00FA69EE" w:rsidRDefault="009243AB" w:rsidP="00CB697D">
      <w:pPr>
        <w:pStyle w:val="EHRBodytext"/>
        <w:rPr>
          <w:lang w:eastAsia="en-GB"/>
        </w:rPr>
      </w:pPr>
      <w:r>
        <w:rPr>
          <w:lang w:eastAsia="en-GB"/>
        </w:rPr>
        <w:t xml:space="preserve">3.1.4 </w:t>
      </w:r>
      <w:r>
        <w:rPr>
          <w:lang w:eastAsia="en-GB"/>
        </w:rPr>
        <w:tab/>
      </w:r>
      <w:r w:rsidR="00CB697D">
        <w:rPr>
          <w:lang w:eastAsia="en-GB"/>
        </w:rPr>
        <w:t xml:space="preserve">This </w:t>
      </w:r>
      <w:r>
        <w:rPr>
          <w:lang w:eastAsia="en-GB"/>
        </w:rPr>
        <w:t xml:space="preserve">section of the </w:t>
      </w:r>
      <w:r w:rsidR="00CB697D">
        <w:rPr>
          <w:lang w:eastAsia="en-GB"/>
        </w:rPr>
        <w:t xml:space="preserve">policy applies to breaches and offences under the Renters’ Rights Act 2025, Housing Act 1988, Protection from Eviction Act 1977, Housing Act 2004 and Housing and Planning Act 2016.  It applies to “relevant persons”, which may include, </w:t>
      </w:r>
      <w:r w:rsidR="00387D74">
        <w:rPr>
          <w:lang w:eastAsia="en-GB"/>
        </w:rPr>
        <w:t>l</w:t>
      </w:r>
      <w:r w:rsidR="00CB697D">
        <w:rPr>
          <w:lang w:eastAsia="en-GB"/>
        </w:rPr>
        <w:t xml:space="preserve">andlords, </w:t>
      </w:r>
      <w:r w:rsidR="00387D74">
        <w:rPr>
          <w:lang w:eastAsia="en-GB"/>
        </w:rPr>
        <w:t>m</w:t>
      </w:r>
      <w:r w:rsidR="00CB697D">
        <w:rPr>
          <w:lang w:eastAsia="en-GB"/>
        </w:rPr>
        <w:t xml:space="preserve">anaging and letting agents, </w:t>
      </w:r>
      <w:r w:rsidR="00387D74">
        <w:rPr>
          <w:lang w:eastAsia="en-GB"/>
        </w:rPr>
        <w:t>s</w:t>
      </w:r>
      <w:r w:rsidR="00CB697D">
        <w:rPr>
          <w:lang w:eastAsia="en-GB"/>
        </w:rPr>
        <w:t xml:space="preserve">uperior </w:t>
      </w:r>
      <w:r>
        <w:rPr>
          <w:lang w:eastAsia="en-GB"/>
        </w:rPr>
        <w:t xml:space="preserve">landlords, and </w:t>
      </w:r>
      <w:r w:rsidR="00CB697D">
        <w:rPr>
          <w:lang w:eastAsia="en-GB"/>
        </w:rPr>
        <w:t>any person acting, or purporting to act on behalf of a landlord.</w:t>
      </w:r>
    </w:p>
    <w:p w14:paraId="452EEBF8" w14:textId="346A3E63" w:rsidR="00CB697D" w:rsidRDefault="00F1032A" w:rsidP="00CB697D">
      <w:pPr>
        <w:pStyle w:val="EHRBodytext"/>
      </w:pPr>
      <w:r>
        <w:t xml:space="preserve">3.1.5 </w:t>
      </w:r>
      <w:r>
        <w:tab/>
      </w:r>
      <w:r w:rsidR="00CB697D">
        <w:t xml:space="preserve">The Renters’ Rights Act 2025 distinguishes between </w:t>
      </w:r>
      <w:r>
        <w:t xml:space="preserve">breaches and offences. Offences </w:t>
      </w:r>
      <w:proofErr w:type="gramStart"/>
      <w:r>
        <w:t>are considered to be</w:t>
      </w:r>
      <w:proofErr w:type="gramEnd"/>
      <w:r>
        <w:t xml:space="preserve"> more serious and can be subject to either a higher financial penalty or prosecution.</w:t>
      </w:r>
    </w:p>
    <w:p w14:paraId="341F61F6" w14:textId="54343520" w:rsidR="00CB697D" w:rsidRDefault="00CB697D" w:rsidP="00F1032A">
      <w:pPr>
        <w:pStyle w:val="EHRBodytext"/>
        <w:ind w:firstLine="0"/>
      </w:pPr>
      <w:r w:rsidRPr="00F1032A">
        <w:rPr>
          <w:b/>
          <w:bCs/>
        </w:rPr>
        <w:t>Breaches</w:t>
      </w:r>
      <w:r>
        <w:t xml:space="preserve"> </w:t>
      </w:r>
      <w:r w:rsidR="00F1032A">
        <w:t xml:space="preserve">- </w:t>
      </w:r>
      <w:r>
        <w:t>this term is used to refer to non-compliance by landlords where the</w:t>
      </w:r>
      <w:r w:rsidR="00F1032A">
        <w:t xml:space="preserve"> </w:t>
      </w:r>
      <w:r>
        <w:t>local authority may impose a civil penalty of up to £7,000.</w:t>
      </w:r>
    </w:p>
    <w:p w14:paraId="32FDDE2E" w14:textId="2F0AAB2C" w:rsidR="00CB697D" w:rsidRDefault="00F1032A" w:rsidP="00CE0E86">
      <w:pPr>
        <w:pStyle w:val="EHRBodytext"/>
        <w:numPr>
          <w:ilvl w:val="0"/>
          <w:numId w:val="10"/>
        </w:numPr>
        <w:spacing w:after="0"/>
        <w:ind w:left="2517" w:hanging="357"/>
      </w:pPr>
      <w:r>
        <w:t>Non-criminal</w:t>
      </w:r>
      <w:r w:rsidR="00CB697D">
        <w:t xml:space="preserve"> contraventions</w:t>
      </w:r>
    </w:p>
    <w:p w14:paraId="50414CF2" w14:textId="77777777" w:rsidR="00CB697D" w:rsidRDefault="00CB697D" w:rsidP="00CE0E86">
      <w:pPr>
        <w:pStyle w:val="EHRBodytext"/>
        <w:numPr>
          <w:ilvl w:val="0"/>
          <w:numId w:val="10"/>
        </w:numPr>
        <w:spacing w:after="0"/>
        <w:ind w:left="2517" w:hanging="357"/>
      </w:pPr>
      <w:r>
        <w:t>Maximum civil penalty: £7,000</w:t>
      </w:r>
    </w:p>
    <w:p w14:paraId="7431CFA1" w14:textId="77777777" w:rsidR="00CB697D" w:rsidRDefault="00CB697D" w:rsidP="00CE0E86">
      <w:pPr>
        <w:pStyle w:val="EHRBodytext"/>
        <w:numPr>
          <w:ilvl w:val="0"/>
          <w:numId w:val="10"/>
        </w:numPr>
        <w:spacing w:after="0"/>
        <w:ind w:left="2517" w:hanging="357"/>
      </w:pPr>
      <w:r>
        <w:t>No option to prosecute</w:t>
      </w:r>
    </w:p>
    <w:p w14:paraId="35F74D06" w14:textId="6FFFA2C2" w:rsidR="00CB697D" w:rsidRDefault="00CB697D" w:rsidP="00F1032A">
      <w:pPr>
        <w:pStyle w:val="EHRBodytext"/>
        <w:ind w:left="2268"/>
      </w:pPr>
      <w:r w:rsidRPr="00F1032A">
        <w:rPr>
          <w:b/>
          <w:bCs/>
        </w:rPr>
        <w:lastRenderedPageBreak/>
        <w:t>Offences</w:t>
      </w:r>
      <w:r>
        <w:t xml:space="preserve"> </w:t>
      </w:r>
      <w:r w:rsidR="00F1032A">
        <w:t xml:space="preserve">- </w:t>
      </w:r>
      <w:r>
        <w:t>this term is used to refer to non-compliance by landlords where a local authority may either prosecute or impose a civil penalty of up to £40,000.</w:t>
      </w:r>
    </w:p>
    <w:p w14:paraId="6B52AAA1" w14:textId="42F04BB8" w:rsidR="00CB697D" w:rsidRDefault="00CB697D" w:rsidP="00CE0E86">
      <w:pPr>
        <w:pStyle w:val="EHRBodytext"/>
        <w:numPr>
          <w:ilvl w:val="0"/>
          <w:numId w:val="11"/>
        </w:numPr>
        <w:spacing w:after="0"/>
      </w:pPr>
      <w:r>
        <w:t>More serious or repeated non</w:t>
      </w:r>
      <w:r w:rsidR="00F1032A">
        <w:t>-</w:t>
      </w:r>
      <w:r>
        <w:t>compliance</w:t>
      </w:r>
    </w:p>
    <w:p w14:paraId="5D68DF51" w14:textId="77777777" w:rsidR="00CB697D" w:rsidRDefault="00CB697D" w:rsidP="00CE0E86">
      <w:pPr>
        <w:pStyle w:val="EHRBodytext"/>
        <w:numPr>
          <w:ilvl w:val="0"/>
          <w:numId w:val="11"/>
        </w:numPr>
        <w:spacing w:after="0"/>
      </w:pPr>
      <w:r>
        <w:t>Maximum civil penalty: £40,000, or prosecution as an alternative</w:t>
      </w:r>
    </w:p>
    <w:p w14:paraId="4F9B6D70" w14:textId="77777777" w:rsidR="00387D74" w:rsidRDefault="00387D74" w:rsidP="00387D74">
      <w:pPr>
        <w:pStyle w:val="EHRBodytext"/>
        <w:spacing w:after="0"/>
        <w:ind w:left="2520" w:firstLine="0"/>
      </w:pPr>
    </w:p>
    <w:p w14:paraId="513F5982" w14:textId="50965F93" w:rsidR="00CB697D" w:rsidRDefault="00F1032A" w:rsidP="00CB697D">
      <w:pPr>
        <w:pStyle w:val="EHRBodytext"/>
      </w:pPr>
      <w:r>
        <w:t xml:space="preserve">3.1.6 </w:t>
      </w:r>
      <w:r>
        <w:tab/>
      </w:r>
      <w:r w:rsidR="00CB697D">
        <w:t>The following breaches are subject to a civil penalty with a maximum penalty of up to £7,000:</w:t>
      </w:r>
    </w:p>
    <w:p w14:paraId="0659ABB8" w14:textId="67AE87DD" w:rsidR="00CB697D" w:rsidRDefault="00CB697D" w:rsidP="00CE0E86">
      <w:pPr>
        <w:pStyle w:val="EHRBodytext"/>
        <w:numPr>
          <w:ilvl w:val="0"/>
          <w:numId w:val="12"/>
        </w:numPr>
      </w:pPr>
      <w:r>
        <w:t>Failure to give a written statement of terms under section 16D of the Housing Act 1988</w:t>
      </w:r>
    </w:p>
    <w:p w14:paraId="391D5D01" w14:textId="4967275D" w:rsidR="00CB697D" w:rsidRDefault="00CB697D" w:rsidP="00CE0E86">
      <w:pPr>
        <w:pStyle w:val="EHRBodytext"/>
        <w:numPr>
          <w:ilvl w:val="0"/>
          <w:numId w:val="12"/>
        </w:numPr>
      </w:pPr>
      <w:r>
        <w:t>Failure to give an existing tenant information about changes made by the Renters’ Rights Act under paragraph 7(2) of schedule 6 to the Renters’ Rights Act 2025</w:t>
      </w:r>
    </w:p>
    <w:p w14:paraId="3685BAD1" w14:textId="51E89F80" w:rsidR="00CB697D" w:rsidRDefault="00CB697D" w:rsidP="00CE0E86">
      <w:pPr>
        <w:pStyle w:val="EHRBodytext"/>
        <w:numPr>
          <w:ilvl w:val="0"/>
          <w:numId w:val="12"/>
        </w:numPr>
      </w:pPr>
      <w:r>
        <w:t>Attempting to let a property for a fixed term under section 16E of the Housing Act 1988</w:t>
      </w:r>
    </w:p>
    <w:p w14:paraId="435CBA65" w14:textId="678F7C46" w:rsidR="00CB697D" w:rsidRDefault="00CB697D" w:rsidP="00CE0E86">
      <w:pPr>
        <w:pStyle w:val="EHRBodytext"/>
        <w:numPr>
          <w:ilvl w:val="0"/>
          <w:numId w:val="12"/>
        </w:numPr>
      </w:pPr>
      <w:r>
        <w:t>Attempting to end a tenancy orally or by service of a notice to quit under section 16E of the Housing Act 1988</w:t>
      </w:r>
    </w:p>
    <w:p w14:paraId="57677FB2" w14:textId="2C11DB58" w:rsidR="00CB697D" w:rsidRDefault="00CB697D" w:rsidP="00CE0E86">
      <w:pPr>
        <w:pStyle w:val="EHRBodytext"/>
        <w:numPr>
          <w:ilvl w:val="0"/>
          <w:numId w:val="12"/>
        </w:numPr>
      </w:pPr>
      <w:r>
        <w:t>Serving an eviction notice that attempts to end a tenancy outside the prescribed section 8 process under section 16E of the Housing Act 1988</w:t>
      </w:r>
    </w:p>
    <w:p w14:paraId="389AA2AF" w14:textId="7AD9BAD7" w:rsidR="00CB697D" w:rsidRDefault="00CB697D" w:rsidP="00CE0E86">
      <w:pPr>
        <w:pStyle w:val="EHRBodytext"/>
        <w:numPr>
          <w:ilvl w:val="0"/>
          <w:numId w:val="12"/>
        </w:numPr>
      </w:pPr>
      <w:r>
        <w:t>Relying on a ground where the person does not reasonably believe that the landlord is/will be able to obtain possession under section 16E of the Housing Act 1988</w:t>
      </w:r>
    </w:p>
    <w:p w14:paraId="1F5FF74E" w14:textId="274C6AC7" w:rsidR="00CB697D" w:rsidRDefault="00CB697D" w:rsidP="00CE0E86">
      <w:pPr>
        <w:pStyle w:val="EHRBodytext"/>
        <w:numPr>
          <w:ilvl w:val="0"/>
          <w:numId w:val="12"/>
        </w:numPr>
      </w:pPr>
      <w:r>
        <w:t>Failing to provide a tenant with prior notice that a ground which requires it may be used under section 16E of the Housing Act 1988</w:t>
      </w:r>
    </w:p>
    <w:p w14:paraId="3F9F3C1C" w14:textId="2A80FE58" w:rsidR="00CB697D" w:rsidRDefault="00CB697D" w:rsidP="00CE0E86">
      <w:pPr>
        <w:pStyle w:val="EHRBodytext"/>
        <w:numPr>
          <w:ilvl w:val="0"/>
          <w:numId w:val="12"/>
        </w:numPr>
      </w:pPr>
      <w:r>
        <w:t>Reletting or remarketing a property before expiry of the 12 month no-let period after using the moving and selling grounds under sections 16E and 16J of the Housing Act 1988</w:t>
      </w:r>
    </w:p>
    <w:p w14:paraId="5AD1D0AB" w14:textId="6B6BC4E6" w:rsidR="00CB697D" w:rsidRDefault="00CB697D" w:rsidP="00CE0E86">
      <w:pPr>
        <w:pStyle w:val="EHRBodytext"/>
        <w:numPr>
          <w:ilvl w:val="0"/>
          <w:numId w:val="12"/>
        </w:numPr>
      </w:pPr>
      <w:r>
        <w:t>Discriminating against prospective tenants during the letting process on the grounds that those tenants are in receipt of benefits or have children under sections 33 and 34 of the Renters’ Rights Act 2025</w:t>
      </w:r>
    </w:p>
    <w:p w14:paraId="3E3F0970" w14:textId="272A0844" w:rsidR="00CB697D" w:rsidRDefault="00CB697D" w:rsidP="00CE0E86">
      <w:pPr>
        <w:pStyle w:val="EHRBodytext"/>
        <w:numPr>
          <w:ilvl w:val="0"/>
          <w:numId w:val="12"/>
        </w:numPr>
      </w:pPr>
      <w:r>
        <w:t>Marketing a letting without stating the proposed rent under section 56 of the Renters’ Rights Act 2025</w:t>
      </w:r>
    </w:p>
    <w:p w14:paraId="1359D4F3" w14:textId="1CD93C33" w:rsidR="00CB697D" w:rsidRDefault="00CB697D" w:rsidP="00CE0E86">
      <w:pPr>
        <w:pStyle w:val="EHRBodytext"/>
        <w:numPr>
          <w:ilvl w:val="0"/>
          <w:numId w:val="12"/>
        </w:numPr>
      </w:pPr>
      <w:r>
        <w:t>Inviting or encouraging any person to offer to pay an amount of rent under the proposed letting that exceeds the stated rent under section 56 of the Renters’ Rights Act 2025</w:t>
      </w:r>
    </w:p>
    <w:p w14:paraId="46C99424" w14:textId="423D6D75" w:rsidR="00CB697D" w:rsidRDefault="00CB697D" w:rsidP="00CE0E86">
      <w:pPr>
        <w:pStyle w:val="EHRBodytext"/>
        <w:numPr>
          <w:ilvl w:val="0"/>
          <w:numId w:val="12"/>
        </w:numPr>
      </w:pPr>
      <w:r>
        <w:t>Accepting an offer from any person to pay an amount of rent under the proposed letting that exceeds the stated rent under section 56 of the Renters’ Rights Act 2025</w:t>
      </w:r>
    </w:p>
    <w:p w14:paraId="7580FDD3" w14:textId="4EBB1F43" w:rsidR="00CB697D" w:rsidRDefault="00F1032A" w:rsidP="00CB697D">
      <w:pPr>
        <w:pStyle w:val="EHRBodytext"/>
      </w:pPr>
      <w:r>
        <w:t xml:space="preserve">3.1.7 </w:t>
      </w:r>
      <w:r>
        <w:tab/>
      </w:r>
      <w:r w:rsidR="00CB697D">
        <w:t>The following offences are subject to a civil penalty with a maximum penalty of up to £40,000:</w:t>
      </w:r>
    </w:p>
    <w:p w14:paraId="709681C8" w14:textId="721BC996" w:rsidR="00CB697D" w:rsidRDefault="00CB697D" w:rsidP="00CE0E86">
      <w:pPr>
        <w:pStyle w:val="EHRBodytext"/>
        <w:numPr>
          <w:ilvl w:val="0"/>
          <w:numId w:val="13"/>
        </w:numPr>
      </w:pPr>
      <w:r>
        <w:lastRenderedPageBreak/>
        <w:t>Unlawful eviction and harassment of occupier as defined under the Protection from Eviction Act 1977</w:t>
      </w:r>
    </w:p>
    <w:p w14:paraId="58FDD8DB" w14:textId="48EA54A0" w:rsidR="00CB697D" w:rsidRDefault="00CB697D" w:rsidP="00CE0E86">
      <w:pPr>
        <w:pStyle w:val="EHRBodytext"/>
        <w:numPr>
          <w:ilvl w:val="0"/>
          <w:numId w:val="13"/>
        </w:numPr>
      </w:pPr>
      <w:r>
        <w:t>Relying on a ground knowing the landlord would not be able to obtain possession or being reckless as to whether they would under section 16J of the Housing Act 1988</w:t>
      </w:r>
    </w:p>
    <w:p w14:paraId="1D75257F" w14:textId="593823AC" w:rsidR="00CB697D" w:rsidRDefault="00CB697D" w:rsidP="00CE0E86">
      <w:pPr>
        <w:pStyle w:val="EHRBodytext"/>
        <w:numPr>
          <w:ilvl w:val="0"/>
          <w:numId w:val="13"/>
        </w:numPr>
      </w:pPr>
      <w:r>
        <w:t>Failure to comply with an Improvement Notice under section 30 of the Housing Act 2004</w:t>
      </w:r>
    </w:p>
    <w:p w14:paraId="322C4E1B" w14:textId="4FC33D36" w:rsidR="00CB697D" w:rsidRDefault="00CB697D" w:rsidP="00CE0E86">
      <w:pPr>
        <w:pStyle w:val="EHRBodytext"/>
        <w:numPr>
          <w:ilvl w:val="0"/>
          <w:numId w:val="13"/>
        </w:numPr>
      </w:pPr>
      <w:r>
        <w:t>Offences in relation to the licensing of housing in multiple occupation (HMOs) under section 72 of the Housing Act 2004</w:t>
      </w:r>
    </w:p>
    <w:p w14:paraId="68BD3AE5" w14:textId="569CD79D" w:rsidR="00CB697D" w:rsidRDefault="00CB697D" w:rsidP="00CE0E86">
      <w:pPr>
        <w:pStyle w:val="EHRBodytext"/>
        <w:numPr>
          <w:ilvl w:val="0"/>
          <w:numId w:val="13"/>
        </w:numPr>
      </w:pPr>
      <w:r>
        <w:t>Offences in relation to licensing of other houses under section 95 of the Housing Act 2004</w:t>
      </w:r>
    </w:p>
    <w:p w14:paraId="3E896245" w14:textId="11FDF821" w:rsidR="00CB697D" w:rsidRDefault="00CB697D" w:rsidP="00CE0E86">
      <w:pPr>
        <w:pStyle w:val="EHRBodytext"/>
        <w:numPr>
          <w:ilvl w:val="0"/>
          <w:numId w:val="13"/>
        </w:numPr>
      </w:pPr>
      <w:r>
        <w:t>Contravention of an overcrowding notice under section 139 of the Housing Act 2004</w:t>
      </w:r>
    </w:p>
    <w:p w14:paraId="378BCD4E" w14:textId="37BBED72" w:rsidR="00CB697D" w:rsidRDefault="00CB697D" w:rsidP="00CE0E86">
      <w:pPr>
        <w:pStyle w:val="EHRBodytext"/>
        <w:numPr>
          <w:ilvl w:val="0"/>
          <w:numId w:val="13"/>
        </w:numPr>
      </w:pPr>
      <w:r>
        <w:t>Failure to comply with management regulations in respect of houses in multiple occupation under section 234 of the Housing Act 2004</w:t>
      </w:r>
    </w:p>
    <w:p w14:paraId="094FF3D1" w14:textId="39A8DAC7" w:rsidR="00CB697D" w:rsidRDefault="00CB697D" w:rsidP="00CE0E86">
      <w:pPr>
        <w:pStyle w:val="EHRBodytext"/>
        <w:numPr>
          <w:ilvl w:val="0"/>
          <w:numId w:val="13"/>
        </w:numPr>
      </w:pPr>
      <w:r>
        <w:t>Breach of a banning order under section 21 of the Housing and Planning Act 2016</w:t>
      </w:r>
    </w:p>
    <w:p w14:paraId="301676C1" w14:textId="2310B7AA" w:rsidR="00CB697D" w:rsidRPr="007660F4" w:rsidRDefault="00F1032A" w:rsidP="00CB697D">
      <w:pPr>
        <w:pStyle w:val="EHRBodytext"/>
      </w:pPr>
      <w:r>
        <w:t xml:space="preserve">3.1.8 </w:t>
      </w:r>
      <w:r>
        <w:tab/>
      </w:r>
      <w:r w:rsidR="00CB697D" w:rsidRPr="00CB697D">
        <w:t>A financial penalty can only be imposed as an alternative to prosecution. The legislation does not permit the Council to impose a financial penalty and prosecute for the same offence. However, if a person commits more than one offence or breach, local authorities may impose a civil penalty in respect of each of them. If a person has been convicted or is currently being prosecuted the Council cannot impose a financial penalty in respect of the same offence. Similarly, if a financial penalty has been imposed, a person cannot then be convicted of an offence for the same conduct.</w:t>
      </w:r>
    </w:p>
    <w:p w14:paraId="488BC580" w14:textId="6673DF49" w:rsidR="00AD7359" w:rsidRPr="00576973" w:rsidRDefault="00CB697D" w:rsidP="00CB697D">
      <w:pPr>
        <w:pStyle w:val="EHR-Sub-heading1"/>
        <w:rPr>
          <w:lang w:eastAsia="en-GB"/>
        </w:rPr>
      </w:pPr>
      <w:bookmarkStart w:id="22" w:name="_Toc228375947"/>
      <w:r w:rsidRPr="00CB697D">
        <w:rPr>
          <w:lang w:eastAsia="en-GB"/>
        </w:rPr>
        <w:t>Penalty Charges for offences under the Smoke and Carbon Monoxide Alarm (England) Regulations 2015 as amended 2022</w:t>
      </w:r>
      <w:bookmarkEnd w:id="22"/>
    </w:p>
    <w:p w14:paraId="7E41CDE9" w14:textId="2FAAA57D" w:rsidR="00CB697D" w:rsidRDefault="00F1032A" w:rsidP="00CB697D">
      <w:pPr>
        <w:pStyle w:val="EHRBodytext"/>
        <w:rPr>
          <w:lang w:eastAsia="en-GB"/>
        </w:rPr>
      </w:pPr>
      <w:r>
        <w:rPr>
          <w:lang w:eastAsia="en-GB"/>
        </w:rPr>
        <w:t>3</w:t>
      </w:r>
      <w:r w:rsidR="001A1D25" w:rsidRPr="00576973">
        <w:rPr>
          <w:lang w:eastAsia="en-GB"/>
        </w:rPr>
        <w:t>.</w:t>
      </w:r>
      <w:r w:rsidR="00346DDA" w:rsidRPr="00576973">
        <w:rPr>
          <w:lang w:eastAsia="en-GB"/>
        </w:rPr>
        <w:t>2</w:t>
      </w:r>
      <w:r w:rsidR="001A1D25" w:rsidRPr="00576973">
        <w:rPr>
          <w:lang w:eastAsia="en-GB"/>
        </w:rPr>
        <w:t>.1</w:t>
      </w:r>
      <w:r w:rsidR="001A1D25" w:rsidRPr="00576973">
        <w:tab/>
      </w:r>
      <w:r w:rsidR="00CB697D">
        <w:rPr>
          <w:lang w:eastAsia="en-GB"/>
        </w:rPr>
        <w:t xml:space="preserve">Part 4 of the regulations allows a penalty charge of up to £5,000 to be applied within 6 weeks of non-compliance with a remedial notice served under the regulations. </w:t>
      </w:r>
    </w:p>
    <w:p w14:paraId="3F0FA7B4" w14:textId="58254290" w:rsidR="00CB697D" w:rsidRDefault="00F1032A" w:rsidP="00CB697D">
      <w:pPr>
        <w:pStyle w:val="EHRBodytext"/>
        <w:rPr>
          <w:lang w:eastAsia="en-GB"/>
        </w:rPr>
      </w:pPr>
      <w:r>
        <w:rPr>
          <w:lang w:eastAsia="en-GB"/>
        </w:rPr>
        <w:t>3.</w:t>
      </w:r>
      <w:r w:rsidR="00CB697D">
        <w:rPr>
          <w:lang w:eastAsia="en-GB"/>
        </w:rPr>
        <w:t>2.2</w:t>
      </w:r>
      <w:r w:rsidR="00CB697D">
        <w:rPr>
          <w:lang w:eastAsia="en-GB"/>
        </w:rPr>
        <w:tab/>
        <w:t xml:space="preserve">The Council will follow its statement of principles, set out </w:t>
      </w:r>
      <w:r w:rsidR="00387D74">
        <w:rPr>
          <w:lang w:eastAsia="en-GB"/>
        </w:rPr>
        <w:t xml:space="preserve">in </w:t>
      </w:r>
      <w:r w:rsidR="00CB697D">
        <w:rPr>
          <w:lang w:eastAsia="en-GB"/>
        </w:rPr>
        <w:t xml:space="preserve">Appendix 2 of this document, when determining the fine. </w:t>
      </w:r>
    </w:p>
    <w:p w14:paraId="0BB3D7C6" w14:textId="00BB5EC1" w:rsidR="00CB697D" w:rsidRDefault="00F1032A" w:rsidP="00CB697D">
      <w:pPr>
        <w:pStyle w:val="EHRBodytext"/>
        <w:rPr>
          <w:lang w:eastAsia="en-GB"/>
        </w:rPr>
      </w:pPr>
      <w:r>
        <w:rPr>
          <w:lang w:eastAsia="en-GB"/>
        </w:rPr>
        <w:t>3.</w:t>
      </w:r>
      <w:r w:rsidR="00CB697D">
        <w:rPr>
          <w:lang w:eastAsia="en-GB"/>
        </w:rPr>
        <w:t>2.3</w:t>
      </w:r>
      <w:r w:rsidR="00CB697D">
        <w:rPr>
          <w:lang w:eastAsia="en-GB"/>
        </w:rPr>
        <w:tab/>
        <w:t>A penalty charge notice will be issued with the demand, where the recipient can then submit a written request for a review of the penalty imposed. Any such review will be considered and a decision made based on the information supplied and further scrutiny of the statement of principles.</w:t>
      </w:r>
    </w:p>
    <w:p w14:paraId="4AA7B9AC" w14:textId="30ACB709" w:rsidR="00AD7359" w:rsidRPr="00576973" w:rsidRDefault="00F1032A" w:rsidP="00CB697D">
      <w:pPr>
        <w:pStyle w:val="EHRBodytext"/>
        <w:rPr>
          <w:lang w:eastAsia="en-GB"/>
        </w:rPr>
      </w:pPr>
      <w:r>
        <w:rPr>
          <w:lang w:eastAsia="en-GB"/>
        </w:rPr>
        <w:t>3.</w:t>
      </w:r>
      <w:r w:rsidR="00CB697D">
        <w:rPr>
          <w:lang w:eastAsia="en-GB"/>
        </w:rPr>
        <w:t>2.4</w:t>
      </w:r>
      <w:r w:rsidR="00CB697D">
        <w:rPr>
          <w:lang w:eastAsia="en-GB"/>
        </w:rPr>
        <w:tab/>
        <w:t>The regulations and guidance are clear and do not allow for the recovery of any costs incurred if the council are required to carry out remedial works.</w:t>
      </w:r>
    </w:p>
    <w:p w14:paraId="00C845D9" w14:textId="61C5D328" w:rsidR="00F83689" w:rsidRPr="00576973" w:rsidRDefault="00CB697D" w:rsidP="00CB697D">
      <w:pPr>
        <w:pStyle w:val="EHR-Sub-heading1"/>
      </w:pPr>
      <w:bookmarkStart w:id="23" w:name="_Toc228375948"/>
      <w:r w:rsidRPr="00CB697D">
        <w:lastRenderedPageBreak/>
        <w:t>Financial penalties for breaches of the Electrical Safety Standards in the Private Rented Sector (England) Regulations 2020 (Amendment) (Extension to the Social Rented Sector) Regulations 2025.</w:t>
      </w:r>
      <w:bookmarkEnd w:id="23"/>
    </w:p>
    <w:p w14:paraId="25532C82" w14:textId="3FB8CB83" w:rsidR="00CB697D" w:rsidRDefault="00F1032A" w:rsidP="00F1032A">
      <w:pPr>
        <w:pStyle w:val="EHRBodytext"/>
        <w:rPr>
          <w:lang w:eastAsia="en-GB"/>
        </w:rPr>
      </w:pPr>
      <w:r>
        <w:rPr>
          <w:lang w:eastAsia="en-GB"/>
        </w:rPr>
        <w:t xml:space="preserve">3.3.1 </w:t>
      </w:r>
      <w:r>
        <w:rPr>
          <w:lang w:eastAsia="en-GB"/>
        </w:rPr>
        <w:tab/>
      </w:r>
      <w:r w:rsidR="00CB697D">
        <w:rPr>
          <w:lang w:eastAsia="en-GB"/>
        </w:rPr>
        <w:t xml:space="preserve">Section 123 of The Housing and Planning Act 2016 makes provision for the local housing authority to impose a financial penalty on an owner of a property where they have failed to comply with a remedial notice served under the electrical safety standards regulations. </w:t>
      </w:r>
    </w:p>
    <w:p w14:paraId="02DF2AEE" w14:textId="480094F4" w:rsidR="00CB697D" w:rsidRDefault="00F1032A" w:rsidP="00F1032A">
      <w:pPr>
        <w:pStyle w:val="EHRBodytext"/>
        <w:rPr>
          <w:lang w:eastAsia="en-GB"/>
        </w:rPr>
      </w:pPr>
      <w:r>
        <w:rPr>
          <w:lang w:eastAsia="en-GB"/>
        </w:rPr>
        <w:t xml:space="preserve">3.3.2 </w:t>
      </w:r>
      <w:r>
        <w:rPr>
          <w:lang w:eastAsia="en-GB"/>
        </w:rPr>
        <w:tab/>
      </w:r>
      <w:r w:rsidR="00CB697D">
        <w:rPr>
          <w:lang w:eastAsia="en-GB"/>
        </w:rPr>
        <w:t>For breaches committed</w:t>
      </w:r>
      <w:r w:rsidR="0032390E">
        <w:rPr>
          <w:lang w:eastAsia="en-GB"/>
        </w:rPr>
        <w:t xml:space="preserve"> under these regulations</w:t>
      </w:r>
      <w:r w:rsidR="00CB697D">
        <w:rPr>
          <w:lang w:eastAsia="en-GB"/>
        </w:rPr>
        <w:t xml:space="preserve"> before</w:t>
      </w:r>
      <w:r w:rsidR="0032390E">
        <w:rPr>
          <w:lang w:eastAsia="en-GB"/>
        </w:rPr>
        <w:t xml:space="preserve"> the </w:t>
      </w:r>
      <w:r w:rsidR="00CB697D">
        <w:rPr>
          <w:lang w:eastAsia="en-GB"/>
        </w:rPr>
        <w:t xml:space="preserve">1 May 2026 </w:t>
      </w:r>
      <w:r w:rsidR="0032390E">
        <w:rPr>
          <w:lang w:eastAsia="en-GB"/>
        </w:rPr>
        <w:t xml:space="preserve">the </w:t>
      </w:r>
      <w:r w:rsidR="00CB697D">
        <w:rPr>
          <w:lang w:eastAsia="en-GB"/>
        </w:rPr>
        <w:t>civil penalt</w:t>
      </w:r>
      <w:r w:rsidR="0032390E">
        <w:rPr>
          <w:lang w:eastAsia="en-GB"/>
        </w:rPr>
        <w:t>y</w:t>
      </w:r>
      <w:r w:rsidR="00CB697D">
        <w:rPr>
          <w:lang w:eastAsia="en-GB"/>
        </w:rPr>
        <w:t xml:space="preserve"> </w:t>
      </w:r>
      <w:r w:rsidR="0032390E">
        <w:rPr>
          <w:lang w:eastAsia="en-GB"/>
        </w:rPr>
        <w:t xml:space="preserve">will be </w:t>
      </w:r>
      <w:r w:rsidR="00CB697D">
        <w:rPr>
          <w:lang w:eastAsia="en-GB"/>
        </w:rPr>
        <w:t>up to £30,000.</w:t>
      </w:r>
    </w:p>
    <w:p w14:paraId="467EACAD" w14:textId="33DBF9D1" w:rsidR="00CB697D" w:rsidRDefault="00F1032A" w:rsidP="00F1032A">
      <w:pPr>
        <w:pStyle w:val="EHRBodytext"/>
        <w:rPr>
          <w:lang w:eastAsia="en-GB"/>
        </w:rPr>
      </w:pPr>
      <w:r>
        <w:rPr>
          <w:lang w:eastAsia="en-GB"/>
        </w:rPr>
        <w:t xml:space="preserve">3.3.3 </w:t>
      </w:r>
      <w:r>
        <w:rPr>
          <w:lang w:eastAsia="en-GB"/>
        </w:rPr>
        <w:tab/>
      </w:r>
      <w:r w:rsidR="00CB697D">
        <w:rPr>
          <w:lang w:eastAsia="en-GB"/>
        </w:rPr>
        <w:t xml:space="preserve">For breaches committed </w:t>
      </w:r>
      <w:r w:rsidR="0032390E">
        <w:rPr>
          <w:lang w:eastAsia="en-GB"/>
        </w:rPr>
        <w:t xml:space="preserve">under these regulations from the </w:t>
      </w:r>
      <w:r w:rsidR="00CB697D">
        <w:rPr>
          <w:lang w:eastAsia="en-GB"/>
        </w:rPr>
        <w:t xml:space="preserve">1 May 2026 </w:t>
      </w:r>
      <w:r w:rsidR="0032390E">
        <w:rPr>
          <w:lang w:eastAsia="en-GB"/>
        </w:rPr>
        <w:t xml:space="preserve">the civil penalty will be </w:t>
      </w:r>
      <w:r w:rsidR="00CB697D">
        <w:rPr>
          <w:lang w:eastAsia="en-GB"/>
        </w:rPr>
        <w:t>up to £40,000</w:t>
      </w:r>
      <w:r w:rsidR="0032390E">
        <w:rPr>
          <w:lang w:eastAsia="en-GB"/>
        </w:rPr>
        <w:t xml:space="preserve"> due to the changes imposed by the regulations detailed in section 3.1.1 above</w:t>
      </w:r>
      <w:r w:rsidR="00CB697D">
        <w:rPr>
          <w:lang w:eastAsia="en-GB"/>
        </w:rPr>
        <w:t>.</w:t>
      </w:r>
    </w:p>
    <w:p w14:paraId="0FB4B6A3" w14:textId="296C911D" w:rsidR="0032390E" w:rsidRDefault="00F1032A" w:rsidP="00F1032A">
      <w:pPr>
        <w:pStyle w:val="EHRBodytext"/>
        <w:rPr>
          <w:lang w:eastAsia="en-GB"/>
        </w:rPr>
      </w:pPr>
      <w:r>
        <w:rPr>
          <w:lang w:eastAsia="en-GB"/>
        </w:rPr>
        <w:t>3.3.4</w:t>
      </w:r>
      <w:r>
        <w:rPr>
          <w:lang w:eastAsia="en-GB"/>
        </w:rPr>
        <w:tab/>
      </w:r>
      <w:r w:rsidR="00CB697D">
        <w:rPr>
          <w:lang w:eastAsia="en-GB"/>
        </w:rPr>
        <w:t xml:space="preserve">The decision whether to impose a financial penalty and the level of that penalty, will be made in accordance with </w:t>
      </w:r>
      <w:r w:rsidR="00387D74">
        <w:rPr>
          <w:lang w:eastAsia="en-GB"/>
        </w:rPr>
        <w:t>section 5</w:t>
      </w:r>
      <w:r w:rsidR="00CB697D">
        <w:rPr>
          <w:lang w:eastAsia="en-GB"/>
        </w:rPr>
        <w:t xml:space="preserve"> of this </w:t>
      </w:r>
      <w:r w:rsidR="0032390E">
        <w:rPr>
          <w:lang w:eastAsia="en-GB"/>
        </w:rPr>
        <w:t>policy</w:t>
      </w:r>
      <w:r w:rsidR="00CB697D">
        <w:rPr>
          <w:lang w:eastAsia="en-GB"/>
        </w:rPr>
        <w:t xml:space="preserve">. </w:t>
      </w:r>
    </w:p>
    <w:p w14:paraId="6B6CA465" w14:textId="7E5DA0BE" w:rsidR="0032390E" w:rsidRDefault="0032390E" w:rsidP="00F1032A">
      <w:pPr>
        <w:pStyle w:val="EHRBodytext"/>
        <w:rPr>
          <w:lang w:eastAsia="en-GB"/>
        </w:rPr>
      </w:pPr>
      <w:r>
        <w:rPr>
          <w:lang w:eastAsia="en-GB"/>
        </w:rPr>
        <w:t xml:space="preserve">3.3.5 </w:t>
      </w:r>
      <w:r>
        <w:rPr>
          <w:lang w:eastAsia="en-GB"/>
        </w:rPr>
        <w:tab/>
        <w:t xml:space="preserve">When determining the level of financial </w:t>
      </w:r>
      <w:proofErr w:type="gramStart"/>
      <w:r>
        <w:rPr>
          <w:lang w:eastAsia="en-GB"/>
        </w:rPr>
        <w:t>penalty</w:t>
      </w:r>
      <w:proofErr w:type="gramEnd"/>
      <w:r>
        <w:rPr>
          <w:lang w:eastAsia="en-GB"/>
        </w:rPr>
        <w:t xml:space="preserve"> i</w:t>
      </w:r>
      <w:r w:rsidR="00CB697D">
        <w:rPr>
          <w:lang w:eastAsia="en-GB"/>
        </w:rPr>
        <w:t xml:space="preserve">t will be appropriate to consider other information, such as an assessment under </w:t>
      </w:r>
      <w:r>
        <w:rPr>
          <w:lang w:eastAsia="en-GB"/>
        </w:rPr>
        <w:t xml:space="preserve">section 1 of </w:t>
      </w:r>
      <w:r w:rsidR="00CB697D">
        <w:rPr>
          <w:lang w:eastAsia="en-GB"/>
        </w:rPr>
        <w:t>the Housing Act 2004</w:t>
      </w:r>
      <w:r>
        <w:rPr>
          <w:lang w:eastAsia="en-GB"/>
        </w:rPr>
        <w:t>.</w:t>
      </w:r>
    </w:p>
    <w:p w14:paraId="6A26B8BA" w14:textId="2CB50438" w:rsidR="00CB697D" w:rsidRDefault="0032390E" w:rsidP="00F1032A">
      <w:pPr>
        <w:pStyle w:val="EHRBodytext"/>
        <w:rPr>
          <w:lang w:eastAsia="en-GB"/>
        </w:rPr>
      </w:pPr>
      <w:r>
        <w:rPr>
          <w:lang w:eastAsia="en-GB"/>
        </w:rPr>
        <w:t>3.3.6</w:t>
      </w:r>
      <w:r>
        <w:rPr>
          <w:lang w:eastAsia="en-GB"/>
        </w:rPr>
        <w:tab/>
        <w:t xml:space="preserve">The Housing </w:t>
      </w:r>
      <w:r w:rsidR="00CB697D">
        <w:rPr>
          <w:lang w:eastAsia="en-GB"/>
        </w:rPr>
        <w:t xml:space="preserve">Health </w:t>
      </w:r>
      <w:r>
        <w:rPr>
          <w:lang w:eastAsia="en-GB"/>
        </w:rPr>
        <w:t xml:space="preserve">and </w:t>
      </w:r>
      <w:r w:rsidR="00CB697D">
        <w:rPr>
          <w:lang w:eastAsia="en-GB"/>
        </w:rPr>
        <w:t xml:space="preserve">Safety Rating System (HHSRS) assessment </w:t>
      </w:r>
      <w:r>
        <w:rPr>
          <w:lang w:eastAsia="en-GB"/>
        </w:rPr>
        <w:t>can be used to inform the level of</w:t>
      </w:r>
      <w:r w:rsidR="00CB697D">
        <w:rPr>
          <w:lang w:eastAsia="en-GB"/>
        </w:rPr>
        <w:t xml:space="preserve"> risk when determining the level of fine.  This could result in a lower or higher level of fine.</w:t>
      </w:r>
      <w:r w:rsidRPr="0032390E">
        <w:rPr>
          <w:lang w:eastAsia="en-GB"/>
        </w:rPr>
        <w:t xml:space="preserve"> </w:t>
      </w:r>
      <w:r>
        <w:rPr>
          <w:lang w:eastAsia="en-GB"/>
        </w:rPr>
        <w:t>The absence of the Electrical Installation Condition Report (EICR) does not automatically indicate a high risk to occupiers.</w:t>
      </w:r>
    </w:p>
    <w:p w14:paraId="3B4E72CC" w14:textId="3405E109" w:rsidR="00CB697D" w:rsidRDefault="00F1032A" w:rsidP="00F1032A">
      <w:pPr>
        <w:pStyle w:val="EHRBodytext"/>
        <w:rPr>
          <w:lang w:eastAsia="en-GB"/>
        </w:rPr>
      </w:pPr>
      <w:r>
        <w:rPr>
          <w:lang w:eastAsia="en-GB"/>
        </w:rPr>
        <w:t>3.3.5</w:t>
      </w:r>
      <w:r w:rsidR="00CB697D">
        <w:rPr>
          <w:lang w:eastAsia="en-GB"/>
        </w:rPr>
        <w:tab/>
        <w:t>Section 8 of the electrical safety standards regulations also allows for the council to recover its costs in taking any remedial action in the case of a breach of a remedial notice served under the regulations.</w:t>
      </w:r>
    </w:p>
    <w:p w14:paraId="157E7F6B" w14:textId="0D9B4542" w:rsidR="00AD7359" w:rsidRDefault="00F1032A" w:rsidP="00F1032A">
      <w:pPr>
        <w:pStyle w:val="EHRBodytext"/>
        <w:rPr>
          <w:lang w:eastAsia="en-GB"/>
        </w:rPr>
      </w:pPr>
      <w:r>
        <w:rPr>
          <w:lang w:eastAsia="en-GB"/>
        </w:rPr>
        <w:t>3.3.6</w:t>
      </w:r>
      <w:r w:rsidR="00CB697D">
        <w:rPr>
          <w:lang w:eastAsia="en-GB"/>
        </w:rPr>
        <w:tab/>
        <w:t xml:space="preserve">Any representations made by a private landlord under schedule 2 of the regulations will be considered </w:t>
      </w:r>
      <w:r w:rsidR="00CE0E86">
        <w:rPr>
          <w:lang w:eastAsia="en-GB"/>
        </w:rPr>
        <w:t>as part of the decision-making process</w:t>
      </w:r>
      <w:r w:rsidR="00CB697D">
        <w:rPr>
          <w:lang w:eastAsia="en-GB"/>
        </w:rPr>
        <w:t>.</w:t>
      </w:r>
    </w:p>
    <w:p w14:paraId="4F83DBB8" w14:textId="48BF7A6D" w:rsidR="00CB697D" w:rsidRDefault="00CB697D" w:rsidP="00CB697D">
      <w:pPr>
        <w:pStyle w:val="EHR-Sub-heading1"/>
        <w:rPr>
          <w:lang w:eastAsia="en-GB"/>
        </w:rPr>
      </w:pPr>
      <w:bookmarkStart w:id="24" w:name="_Toc228375949"/>
      <w:r w:rsidRPr="00CB697D">
        <w:rPr>
          <w:lang w:eastAsia="en-GB"/>
        </w:rPr>
        <w:t>Penalties for offences under The Energy Efficiency (Private Rented Property) (England and Wales) Regulations 2015 as amended 2016</w:t>
      </w:r>
      <w:bookmarkEnd w:id="24"/>
    </w:p>
    <w:p w14:paraId="10F817E2" w14:textId="508CC3D8" w:rsidR="00CB697D" w:rsidRDefault="00CE0E86" w:rsidP="00CB697D">
      <w:pPr>
        <w:pStyle w:val="EHRBodytext"/>
        <w:rPr>
          <w:lang w:eastAsia="en-GB"/>
        </w:rPr>
      </w:pPr>
      <w:r>
        <w:rPr>
          <w:lang w:eastAsia="en-GB"/>
        </w:rPr>
        <w:t>3.4.1</w:t>
      </w:r>
      <w:r w:rsidR="00CB697D">
        <w:rPr>
          <w:lang w:eastAsia="en-GB"/>
        </w:rPr>
        <w:t xml:space="preserve"> </w:t>
      </w:r>
      <w:r w:rsidR="00CB697D">
        <w:rPr>
          <w:lang w:eastAsia="en-GB"/>
        </w:rPr>
        <w:tab/>
        <w:t>The</w:t>
      </w:r>
      <w:r w:rsidR="00387D74">
        <w:rPr>
          <w:lang w:eastAsia="en-GB"/>
        </w:rPr>
        <w:t>se</w:t>
      </w:r>
      <w:r w:rsidR="00CB697D">
        <w:rPr>
          <w:lang w:eastAsia="en-GB"/>
        </w:rPr>
        <w:t xml:space="preserve"> regulations require that private rented domestic properties meet a minimum energy performance rating before they can be rented out. Landlords of certain domestic properties may not grant a new tenancy or continue to let their property if the EPC (energy performance certificate) rating is F or G. </w:t>
      </w:r>
    </w:p>
    <w:p w14:paraId="07FA0B38" w14:textId="34625A21" w:rsidR="00CB697D" w:rsidRDefault="00CE0E86" w:rsidP="00CB697D">
      <w:pPr>
        <w:pStyle w:val="EHRBodytext"/>
        <w:rPr>
          <w:lang w:eastAsia="en-GB"/>
        </w:rPr>
      </w:pPr>
      <w:r>
        <w:rPr>
          <w:lang w:eastAsia="en-GB"/>
        </w:rPr>
        <w:t>3.4.2</w:t>
      </w:r>
      <w:r w:rsidR="00CB697D">
        <w:rPr>
          <w:lang w:eastAsia="en-GB"/>
        </w:rPr>
        <w:tab/>
        <w:t xml:space="preserve">Local authorities have responsibility for enforcing these regulations which means it can be enforced by either Trading Standards Officers or Environmental Health Officers. The local housing authority is the enforcing body for the domestic private rented part of the regulations which sits within Public Health </w:t>
      </w:r>
      <w:r w:rsidR="00CB697D">
        <w:rPr>
          <w:lang w:eastAsia="en-GB"/>
        </w:rPr>
        <w:lastRenderedPageBreak/>
        <w:t xml:space="preserve">and Housing Options at Mid </w:t>
      </w:r>
      <w:proofErr w:type="gramStart"/>
      <w:r w:rsidR="00CB697D">
        <w:rPr>
          <w:lang w:eastAsia="en-GB"/>
        </w:rPr>
        <w:t>Devon, and</w:t>
      </w:r>
      <w:proofErr w:type="gramEnd"/>
      <w:r w:rsidR="00CB697D">
        <w:rPr>
          <w:lang w:eastAsia="en-GB"/>
        </w:rPr>
        <w:t xml:space="preserve"> is the responsibility of authorised officers within the service.</w:t>
      </w:r>
    </w:p>
    <w:p w14:paraId="263B41C1" w14:textId="68CC2651" w:rsidR="00CB697D" w:rsidRDefault="00CE0E86" w:rsidP="00CB697D">
      <w:pPr>
        <w:pStyle w:val="EHRBodytext"/>
        <w:rPr>
          <w:lang w:eastAsia="en-GB"/>
        </w:rPr>
      </w:pPr>
      <w:r>
        <w:rPr>
          <w:lang w:eastAsia="en-GB"/>
        </w:rPr>
        <w:t>3.4.3</w:t>
      </w:r>
      <w:r w:rsidR="00CB697D">
        <w:rPr>
          <w:lang w:eastAsia="en-GB"/>
        </w:rPr>
        <w:t xml:space="preserve"> </w:t>
      </w:r>
      <w:r w:rsidR="00CB697D">
        <w:rPr>
          <w:lang w:eastAsia="en-GB"/>
        </w:rPr>
        <w:tab/>
      </w:r>
      <w:proofErr w:type="gramStart"/>
      <w:r w:rsidR="00CB697D">
        <w:rPr>
          <w:lang w:eastAsia="en-GB"/>
        </w:rPr>
        <w:t>Non-compliance</w:t>
      </w:r>
      <w:proofErr w:type="gramEnd"/>
      <w:r w:rsidR="00CB697D">
        <w:rPr>
          <w:lang w:eastAsia="en-GB"/>
        </w:rPr>
        <w:t xml:space="preserve"> with any notice served under the regulations allows for financial penalties to be applied. The regulations set the amounts for maximum penalties in 4 individual categories up to a maximum of £5000. The maximum fines for contraventions are set out in Appendix 1.</w:t>
      </w:r>
    </w:p>
    <w:p w14:paraId="6E27C76F" w14:textId="54A1A5FE" w:rsidR="00CB697D" w:rsidRDefault="00CE0E86" w:rsidP="00CB697D">
      <w:pPr>
        <w:pStyle w:val="EHRBodytext"/>
        <w:rPr>
          <w:lang w:eastAsia="en-GB"/>
        </w:rPr>
      </w:pPr>
      <w:r>
        <w:rPr>
          <w:lang w:eastAsia="en-GB"/>
        </w:rPr>
        <w:t>3.4.4</w:t>
      </w:r>
      <w:r w:rsidR="00CB697D">
        <w:rPr>
          <w:lang w:eastAsia="en-GB"/>
        </w:rPr>
        <w:tab/>
        <w:t>A financial penalty may be served up to 18 months after the breach and so the landlord may be served a notice after they cease to be the landlord of the property.</w:t>
      </w:r>
    </w:p>
    <w:p w14:paraId="2AA4D901" w14:textId="43421561" w:rsidR="00CB697D" w:rsidRDefault="00CE0E86" w:rsidP="00CB697D">
      <w:pPr>
        <w:pStyle w:val="EHRBodytext"/>
        <w:rPr>
          <w:lang w:eastAsia="en-GB"/>
        </w:rPr>
      </w:pPr>
      <w:r>
        <w:rPr>
          <w:lang w:eastAsia="en-GB"/>
        </w:rPr>
        <w:t>3.4.5</w:t>
      </w:r>
      <w:r w:rsidR="00CB697D">
        <w:rPr>
          <w:lang w:eastAsia="en-GB"/>
        </w:rPr>
        <w:tab/>
        <w:t>A landlord may ask for a review of the decision to serve a penalty notice. Any such review will be considered and a decision made based on the information supplied.</w:t>
      </w:r>
    </w:p>
    <w:p w14:paraId="71C4B0D4" w14:textId="787B8524" w:rsidR="00CB697D" w:rsidRDefault="00CE0E86" w:rsidP="00CB697D">
      <w:pPr>
        <w:pStyle w:val="EHRBodytext"/>
        <w:rPr>
          <w:lang w:eastAsia="en-GB"/>
        </w:rPr>
      </w:pPr>
      <w:r>
        <w:rPr>
          <w:lang w:eastAsia="en-GB"/>
        </w:rPr>
        <w:t>3.4.6</w:t>
      </w:r>
      <w:r w:rsidR="00CB697D">
        <w:rPr>
          <w:lang w:eastAsia="en-GB"/>
        </w:rPr>
        <w:tab/>
        <w:t xml:space="preserve">In addition to a financial penalty the council may serve a Publication Penalty. This means that </w:t>
      </w:r>
      <w:r w:rsidR="00387D74">
        <w:rPr>
          <w:lang w:eastAsia="en-GB"/>
        </w:rPr>
        <w:t>the Council</w:t>
      </w:r>
      <w:r w:rsidR="00CB697D">
        <w:rPr>
          <w:lang w:eastAsia="en-GB"/>
        </w:rPr>
        <w:t xml:space="preserve"> can publish details of the </w:t>
      </w:r>
      <w:proofErr w:type="gramStart"/>
      <w:r w:rsidR="00CB697D">
        <w:rPr>
          <w:lang w:eastAsia="en-GB"/>
        </w:rPr>
        <w:t>landlords</w:t>
      </w:r>
      <w:proofErr w:type="gramEnd"/>
      <w:r w:rsidR="00CB697D">
        <w:rPr>
          <w:lang w:eastAsia="en-GB"/>
        </w:rPr>
        <w:t xml:space="preserve"> breach on a publicly accessible part of the PRS Exemptions Register and should remain on the register for a minimum of 12 months.</w:t>
      </w:r>
    </w:p>
    <w:p w14:paraId="4657EB6A" w14:textId="656FF92F" w:rsidR="00CB697D" w:rsidRPr="00CB697D" w:rsidRDefault="00CB697D" w:rsidP="00CB697D">
      <w:pPr>
        <w:pStyle w:val="EHR-Sub-heading1"/>
        <w:rPr>
          <w:lang w:eastAsia="en-GB"/>
        </w:rPr>
      </w:pPr>
      <w:bookmarkStart w:id="25" w:name="_Toc228375950"/>
      <w:r w:rsidRPr="00CB697D">
        <w:rPr>
          <w:lang w:eastAsia="en-GB"/>
        </w:rPr>
        <w:t>Financial penalties for breaches of a banning order</w:t>
      </w:r>
      <w:bookmarkEnd w:id="25"/>
    </w:p>
    <w:p w14:paraId="4F5A111D" w14:textId="6B2087CB" w:rsidR="00CB697D" w:rsidRDefault="004D2486" w:rsidP="00CB697D">
      <w:pPr>
        <w:pStyle w:val="EHRBodytext"/>
        <w:rPr>
          <w:lang w:eastAsia="en-GB"/>
        </w:rPr>
      </w:pPr>
      <w:r>
        <w:rPr>
          <w:lang w:eastAsia="en-GB"/>
        </w:rPr>
        <w:t>3.5.1</w:t>
      </w:r>
      <w:r w:rsidR="00CB697D">
        <w:rPr>
          <w:lang w:eastAsia="en-GB"/>
        </w:rPr>
        <w:tab/>
        <w:t>The Housing and Planning Act 2016 gives provision under section 23 for the council to impose a financial penalty if a person breaches a banning order.</w:t>
      </w:r>
    </w:p>
    <w:p w14:paraId="7A2A2A9C" w14:textId="0D7EB251" w:rsidR="00CB697D" w:rsidRDefault="004D2486" w:rsidP="00CB697D">
      <w:pPr>
        <w:pStyle w:val="EHRBodytext"/>
        <w:rPr>
          <w:lang w:eastAsia="en-GB"/>
        </w:rPr>
      </w:pPr>
      <w:r>
        <w:rPr>
          <w:lang w:eastAsia="en-GB"/>
        </w:rPr>
        <w:t>3.5.2</w:t>
      </w:r>
      <w:r w:rsidR="00CB697D">
        <w:rPr>
          <w:lang w:eastAsia="en-GB"/>
        </w:rPr>
        <w:tab/>
        <w:t xml:space="preserve">If the breach continues for more than 6 months an additional financial penalty may be applied for each </w:t>
      </w:r>
      <w:r>
        <w:rPr>
          <w:lang w:eastAsia="en-GB"/>
        </w:rPr>
        <w:t>6-month</w:t>
      </w:r>
      <w:r w:rsidR="00CB697D">
        <w:rPr>
          <w:lang w:eastAsia="en-GB"/>
        </w:rPr>
        <w:t xml:space="preserve"> period.</w:t>
      </w:r>
    </w:p>
    <w:p w14:paraId="4C247DD7" w14:textId="0716BDF3" w:rsidR="00CB697D" w:rsidRDefault="004D2486" w:rsidP="00CB697D">
      <w:pPr>
        <w:pStyle w:val="EHRBodytext"/>
        <w:rPr>
          <w:lang w:eastAsia="en-GB"/>
        </w:rPr>
      </w:pPr>
      <w:r>
        <w:rPr>
          <w:lang w:eastAsia="en-GB"/>
        </w:rPr>
        <w:t xml:space="preserve">3.5.3 </w:t>
      </w:r>
      <w:r>
        <w:rPr>
          <w:lang w:eastAsia="en-GB"/>
        </w:rPr>
        <w:tab/>
      </w:r>
      <w:r w:rsidR="00CB697D">
        <w:rPr>
          <w:lang w:eastAsia="en-GB"/>
        </w:rPr>
        <w:t>The decision whether to impose a financial penalty (or the level of that penalty) will be made in accordance with th</w:t>
      </w:r>
      <w:r>
        <w:rPr>
          <w:lang w:eastAsia="en-GB"/>
        </w:rPr>
        <w:t>is policy and the adopted enforcement policy</w:t>
      </w:r>
      <w:r w:rsidR="00CB697D">
        <w:rPr>
          <w:lang w:eastAsia="en-GB"/>
        </w:rPr>
        <w:t>.</w:t>
      </w:r>
    </w:p>
    <w:p w14:paraId="0010DCB6" w14:textId="4A224724" w:rsidR="00CB697D" w:rsidRDefault="00CB697D" w:rsidP="00CB697D">
      <w:pPr>
        <w:pStyle w:val="EHR-Sub-heading1"/>
        <w:rPr>
          <w:lang w:eastAsia="en-GB"/>
        </w:rPr>
      </w:pPr>
      <w:bookmarkStart w:id="26" w:name="_Toc228375951"/>
      <w:r w:rsidRPr="00CB697D">
        <w:rPr>
          <w:lang w:eastAsia="en-GB"/>
        </w:rPr>
        <w:t>Financial penalties for Housing Act 2004 offences</w:t>
      </w:r>
      <w:bookmarkEnd w:id="26"/>
    </w:p>
    <w:p w14:paraId="0DC48D91" w14:textId="25066F58" w:rsidR="00CB697D" w:rsidRDefault="004D2486" w:rsidP="00CB697D">
      <w:pPr>
        <w:pStyle w:val="EHRBodytext"/>
        <w:rPr>
          <w:lang w:eastAsia="en-GB"/>
        </w:rPr>
      </w:pPr>
      <w:r>
        <w:rPr>
          <w:lang w:eastAsia="en-GB"/>
        </w:rPr>
        <w:t>3.6.1</w:t>
      </w:r>
      <w:r w:rsidR="00CB697D">
        <w:rPr>
          <w:lang w:eastAsia="en-GB"/>
        </w:rPr>
        <w:tab/>
        <w:t>The Housing and Planning Act 2016 introduced an amendment to the Housing Act 2004 to allow local housing authorities to impose a financial penalty on an owner of a property where they have failed to comply with provisions under the 2004 Act, as an alternative to prosecution. This has been further strengthened with the Renters Rights Act 2025. The maximum penalty is £40,000.</w:t>
      </w:r>
    </w:p>
    <w:p w14:paraId="2F408CC4" w14:textId="7F84F9B1" w:rsidR="00CB697D" w:rsidRDefault="004D2486" w:rsidP="00CB697D">
      <w:pPr>
        <w:pStyle w:val="EHRBodytext"/>
        <w:rPr>
          <w:lang w:eastAsia="en-GB"/>
        </w:rPr>
      </w:pPr>
      <w:r>
        <w:rPr>
          <w:lang w:eastAsia="en-GB"/>
        </w:rPr>
        <w:t>3.6.2</w:t>
      </w:r>
      <w:r w:rsidR="00CB697D">
        <w:rPr>
          <w:lang w:eastAsia="en-GB"/>
        </w:rPr>
        <w:tab/>
        <w:t xml:space="preserve">The offences include:  </w:t>
      </w:r>
    </w:p>
    <w:p w14:paraId="5A650FB9" w14:textId="65F03463" w:rsidR="00CB697D" w:rsidRDefault="00CB697D" w:rsidP="004D2486">
      <w:pPr>
        <w:pStyle w:val="EHRBodytext"/>
        <w:numPr>
          <w:ilvl w:val="0"/>
          <w:numId w:val="14"/>
        </w:numPr>
        <w:rPr>
          <w:lang w:eastAsia="en-GB"/>
        </w:rPr>
      </w:pPr>
      <w:r>
        <w:rPr>
          <w:lang w:eastAsia="en-GB"/>
        </w:rPr>
        <w:t>Failing to comply with an Improvement Notice (section 30)</w:t>
      </w:r>
    </w:p>
    <w:p w14:paraId="721901D9" w14:textId="406CC6C1" w:rsidR="00CB697D" w:rsidRDefault="00CB697D" w:rsidP="004D2486">
      <w:pPr>
        <w:pStyle w:val="EHRBodytext"/>
        <w:numPr>
          <w:ilvl w:val="0"/>
          <w:numId w:val="14"/>
        </w:numPr>
        <w:rPr>
          <w:lang w:eastAsia="en-GB"/>
        </w:rPr>
      </w:pPr>
      <w:r>
        <w:rPr>
          <w:lang w:eastAsia="en-GB"/>
        </w:rPr>
        <w:t>Offences in relation to licensing of Houses in Multiple Occupation (section 72)</w:t>
      </w:r>
    </w:p>
    <w:p w14:paraId="4468D346" w14:textId="47432B11" w:rsidR="00CB697D" w:rsidRDefault="00CB697D" w:rsidP="004D2486">
      <w:pPr>
        <w:pStyle w:val="EHRBodytext"/>
        <w:numPr>
          <w:ilvl w:val="0"/>
          <w:numId w:val="14"/>
        </w:numPr>
        <w:rPr>
          <w:lang w:eastAsia="en-GB"/>
        </w:rPr>
      </w:pPr>
      <w:r>
        <w:rPr>
          <w:lang w:eastAsia="en-GB"/>
        </w:rPr>
        <w:t>Offences in relation to licensing of houses under part 3 of the Act (selective Licensing) (section 95)</w:t>
      </w:r>
    </w:p>
    <w:p w14:paraId="047DFE93" w14:textId="586A9A71" w:rsidR="00CB697D" w:rsidRDefault="00CB697D" w:rsidP="004D2486">
      <w:pPr>
        <w:pStyle w:val="EHRBodytext"/>
        <w:numPr>
          <w:ilvl w:val="0"/>
          <w:numId w:val="14"/>
        </w:numPr>
        <w:rPr>
          <w:lang w:eastAsia="en-GB"/>
        </w:rPr>
      </w:pPr>
      <w:r>
        <w:rPr>
          <w:lang w:eastAsia="en-GB"/>
        </w:rPr>
        <w:t>Offences in relation to the contravention of an overcrowding notice (section 139)</w:t>
      </w:r>
    </w:p>
    <w:p w14:paraId="709BEE38" w14:textId="697F672F" w:rsidR="00CB697D" w:rsidRDefault="00CB697D" w:rsidP="004D2486">
      <w:pPr>
        <w:pStyle w:val="EHRBodytext"/>
        <w:numPr>
          <w:ilvl w:val="0"/>
          <w:numId w:val="14"/>
        </w:numPr>
        <w:rPr>
          <w:lang w:eastAsia="en-GB"/>
        </w:rPr>
      </w:pPr>
      <w:r>
        <w:rPr>
          <w:lang w:eastAsia="en-GB"/>
        </w:rPr>
        <w:lastRenderedPageBreak/>
        <w:t>Failure to comply with management regulations in respect of House in Multiple Occupation (section 234)</w:t>
      </w:r>
    </w:p>
    <w:p w14:paraId="24EE8756" w14:textId="1696B3D3" w:rsidR="00CB697D" w:rsidRPr="00CB697D" w:rsidRDefault="00E50BE8" w:rsidP="00CB697D">
      <w:pPr>
        <w:pStyle w:val="EHRBodytext"/>
        <w:rPr>
          <w:lang w:eastAsia="en-GB"/>
        </w:rPr>
      </w:pPr>
      <w:r>
        <w:rPr>
          <w:lang w:eastAsia="en-GB"/>
        </w:rPr>
        <w:t>3.6.3</w:t>
      </w:r>
      <w:r w:rsidR="00CB697D">
        <w:rPr>
          <w:lang w:eastAsia="en-GB"/>
        </w:rPr>
        <w:tab/>
        <w:t xml:space="preserve">A financial penalty can only be imposed as an alternative to prosecution. The legislation does not permit the Council to impose a financial penalty and prosecute for the same offence. If a person has been convicted or is currently being prosecuted the Council cannot impose a financial penalty in respect of the same offence. Similarly, if a financial penalty has been imposed, a person cannot then be convicted of an offence for the same </w:t>
      </w:r>
      <w:proofErr w:type="gramStart"/>
      <w:r w:rsidR="00CB697D">
        <w:rPr>
          <w:lang w:eastAsia="en-GB"/>
        </w:rPr>
        <w:t>conduct</w:t>
      </w:r>
      <w:proofErr w:type="gramEnd"/>
      <w:r w:rsidR="00CB697D">
        <w:rPr>
          <w:lang w:eastAsia="en-GB"/>
        </w:rPr>
        <w:t xml:space="preserve"> and the council cannot make an application for a banning order.</w:t>
      </w:r>
    </w:p>
    <w:p w14:paraId="0D62ACB6" w14:textId="198D4B63" w:rsidR="00AD7359" w:rsidRPr="00576973" w:rsidRDefault="00CB697D" w:rsidP="00CB697D">
      <w:pPr>
        <w:pStyle w:val="EHRMajorheading"/>
        <w:rPr>
          <w:lang w:eastAsia="en-GB"/>
        </w:rPr>
      </w:pPr>
      <w:bookmarkStart w:id="27" w:name="_Toc228375952"/>
      <w:r w:rsidRPr="00CB697D">
        <w:rPr>
          <w:lang w:eastAsia="en-GB"/>
        </w:rPr>
        <w:t>Policy approach and decision-making</w:t>
      </w:r>
      <w:bookmarkEnd w:id="27"/>
    </w:p>
    <w:p w14:paraId="1A22CFD7" w14:textId="5DF6264A" w:rsidR="00AD7359" w:rsidRPr="00576973" w:rsidRDefault="00CB697D" w:rsidP="00AD7359">
      <w:pPr>
        <w:pStyle w:val="EHR-Sub-heading1"/>
        <w:rPr>
          <w:lang w:eastAsia="en-GB"/>
        </w:rPr>
      </w:pPr>
      <w:bookmarkStart w:id="28" w:name="_Toc228375953"/>
      <w:r>
        <w:rPr>
          <w:lang w:eastAsia="en-GB"/>
        </w:rPr>
        <w:t>Enforcement Policy</w:t>
      </w:r>
      <w:bookmarkEnd w:id="28"/>
      <w:r>
        <w:rPr>
          <w:lang w:eastAsia="en-GB"/>
        </w:rPr>
        <w:t xml:space="preserve"> </w:t>
      </w:r>
    </w:p>
    <w:p w14:paraId="7A885BE8" w14:textId="322FCBA0" w:rsidR="00CB697D" w:rsidRDefault="00E50BE8" w:rsidP="00CB697D">
      <w:pPr>
        <w:pStyle w:val="EHRBodytext"/>
        <w:rPr>
          <w:lang w:eastAsia="en-GB"/>
        </w:rPr>
      </w:pPr>
      <w:r>
        <w:rPr>
          <w:lang w:eastAsia="en-GB"/>
        </w:rPr>
        <w:t>4.1.1</w:t>
      </w:r>
      <w:r w:rsidR="00047466" w:rsidRPr="00576973">
        <w:rPr>
          <w:lang w:eastAsia="en-GB"/>
        </w:rPr>
        <w:tab/>
      </w:r>
      <w:r w:rsidR="00CB697D">
        <w:rPr>
          <w:lang w:eastAsia="en-GB"/>
        </w:rPr>
        <w:t xml:space="preserve">The Council is required to have a policy in place that details when to prosecute and when to consider a financial penalty. Although this is partially covered by the current Enforcement Policy PH/EP/09/20 and Appendix J (Supplementary Enforcement Policy Issues - Private Sector Housing) full details of the council’s </w:t>
      </w:r>
      <w:r w:rsidR="00387D74">
        <w:rPr>
          <w:lang w:eastAsia="en-GB"/>
        </w:rPr>
        <w:t>decision-making</w:t>
      </w:r>
      <w:r w:rsidR="00CB697D">
        <w:rPr>
          <w:lang w:eastAsia="en-GB"/>
        </w:rPr>
        <w:t xml:space="preserve"> process in relation to this is set out in the following sections.</w:t>
      </w:r>
    </w:p>
    <w:p w14:paraId="5526CC85" w14:textId="0F0DFA66" w:rsidR="00CB697D" w:rsidRDefault="00E50BE8" w:rsidP="00CB697D">
      <w:pPr>
        <w:pStyle w:val="EHRBodytext"/>
        <w:rPr>
          <w:lang w:eastAsia="en-GB"/>
        </w:rPr>
      </w:pPr>
      <w:r>
        <w:rPr>
          <w:lang w:eastAsia="en-GB"/>
        </w:rPr>
        <w:t>4.1.2</w:t>
      </w:r>
      <w:r w:rsidR="00CB697D">
        <w:rPr>
          <w:lang w:eastAsia="en-GB"/>
        </w:rPr>
        <w:tab/>
        <w:t xml:space="preserve">In line with the Enforcement Policy and the formal guidance on civil penalties under the Housing and Planning Act and Renter Rights Act 2025, prosecution may be considered the most appropriate option where an offence is particularly serious or where the offender has committed similar offences in the past. However, that does not mean civil penalties should not be used in cases where serious offences have been committed </w:t>
      </w:r>
      <w:r>
        <w:rPr>
          <w:lang w:eastAsia="en-GB"/>
        </w:rPr>
        <w:t xml:space="preserve">if it </w:t>
      </w:r>
      <w:r w:rsidR="00CB697D">
        <w:rPr>
          <w:lang w:eastAsia="en-GB"/>
        </w:rPr>
        <w:t xml:space="preserve">is the most appropriate and effective sanction in a particular case. </w:t>
      </w:r>
    </w:p>
    <w:p w14:paraId="06A6D0C0" w14:textId="1C961D6B" w:rsidR="00CB697D" w:rsidRDefault="00E50BE8" w:rsidP="00CB697D">
      <w:pPr>
        <w:pStyle w:val="EHRBodytext"/>
        <w:rPr>
          <w:lang w:eastAsia="en-GB"/>
        </w:rPr>
      </w:pPr>
      <w:r>
        <w:rPr>
          <w:lang w:eastAsia="en-GB"/>
        </w:rPr>
        <w:t>4.1.3</w:t>
      </w:r>
      <w:r w:rsidR="00CB697D">
        <w:rPr>
          <w:lang w:eastAsia="en-GB"/>
        </w:rPr>
        <w:tab/>
        <w:t>The decision on whether to use civil penalty powers (and to what extent) or to seek a prosecution will be made by a service manager or other appropriate senior manager in conjunction with legal services. It should be proportionate and the following factors considered:</w:t>
      </w:r>
    </w:p>
    <w:p w14:paraId="33FE8CB7" w14:textId="7B2E337F" w:rsidR="00CB697D" w:rsidRDefault="00CB697D" w:rsidP="00E50BE8">
      <w:pPr>
        <w:pStyle w:val="EHRBodytext"/>
        <w:numPr>
          <w:ilvl w:val="0"/>
          <w:numId w:val="15"/>
        </w:numPr>
        <w:rPr>
          <w:lang w:eastAsia="en-GB"/>
        </w:rPr>
      </w:pPr>
      <w:r>
        <w:rPr>
          <w:lang w:eastAsia="en-GB"/>
        </w:rPr>
        <w:t>What outcome we are trying to achieve – e.g. set an example, get the works done or a deterrent to committing future offences (a civil penalty will not be in the public domain unlike a prosecution);</w:t>
      </w:r>
    </w:p>
    <w:p w14:paraId="47691090" w14:textId="096937B0" w:rsidR="00CB697D" w:rsidRDefault="00CB697D" w:rsidP="00E50BE8">
      <w:pPr>
        <w:pStyle w:val="EHRBodytext"/>
        <w:numPr>
          <w:ilvl w:val="0"/>
          <w:numId w:val="15"/>
        </w:numPr>
        <w:rPr>
          <w:lang w:eastAsia="en-GB"/>
        </w:rPr>
      </w:pPr>
      <w:r>
        <w:rPr>
          <w:lang w:eastAsia="en-GB"/>
        </w:rPr>
        <w:t>Severity of the offence – is prosecution a better option based on the significance of the offence and the impact it has had;</w:t>
      </w:r>
    </w:p>
    <w:p w14:paraId="24AD341D" w14:textId="42649230" w:rsidR="00CB697D" w:rsidRDefault="00CB697D" w:rsidP="00E50BE8">
      <w:pPr>
        <w:pStyle w:val="EHRBodytext"/>
        <w:numPr>
          <w:ilvl w:val="0"/>
          <w:numId w:val="15"/>
        </w:numPr>
        <w:rPr>
          <w:lang w:eastAsia="en-GB"/>
        </w:rPr>
      </w:pPr>
      <w:r>
        <w:rPr>
          <w:lang w:eastAsia="en-GB"/>
        </w:rPr>
        <w:t>Type of property and its occupiers – are the occupiers particularly vulnerable.</w:t>
      </w:r>
    </w:p>
    <w:p w14:paraId="71FAB725" w14:textId="26BCF8A6" w:rsidR="00CB697D" w:rsidRDefault="00E50BE8" w:rsidP="00CB697D">
      <w:pPr>
        <w:pStyle w:val="EHRBodytext"/>
        <w:rPr>
          <w:lang w:eastAsia="en-GB"/>
        </w:rPr>
      </w:pPr>
      <w:r>
        <w:rPr>
          <w:lang w:eastAsia="en-GB"/>
        </w:rPr>
        <w:t>4.1.4</w:t>
      </w:r>
      <w:r w:rsidR="00CB697D">
        <w:rPr>
          <w:lang w:eastAsia="en-GB"/>
        </w:rPr>
        <w:tab/>
        <w:t xml:space="preserve">Where the Council decides to prosecute, </w:t>
      </w:r>
      <w:r>
        <w:rPr>
          <w:lang w:eastAsia="en-GB"/>
        </w:rPr>
        <w:t xml:space="preserve">the appropriate registers will be updated and the potential for </w:t>
      </w:r>
      <w:r w:rsidR="00CB697D">
        <w:rPr>
          <w:lang w:eastAsia="en-GB"/>
        </w:rPr>
        <w:t>working with other local housing authorities</w:t>
      </w:r>
      <w:r>
        <w:rPr>
          <w:lang w:eastAsia="en-GB"/>
        </w:rPr>
        <w:t xml:space="preserve"> will be investigated, particularly</w:t>
      </w:r>
      <w:r w:rsidR="00CB697D">
        <w:rPr>
          <w:lang w:eastAsia="en-GB"/>
        </w:rPr>
        <w:t xml:space="preserve"> if a landlord has committed breaches across more than one local authority area.</w:t>
      </w:r>
    </w:p>
    <w:p w14:paraId="3A50EF31" w14:textId="77777777" w:rsidR="00CB697D" w:rsidRDefault="00CB697D" w:rsidP="00CB697D">
      <w:pPr>
        <w:pStyle w:val="EHRBodytext"/>
        <w:rPr>
          <w:lang w:eastAsia="en-GB"/>
        </w:rPr>
      </w:pPr>
    </w:p>
    <w:p w14:paraId="1A29A475" w14:textId="7282E23A" w:rsidR="00CB697D" w:rsidRDefault="00AB1BD9" w:rsidP="00CB697D">
      <w:pPr>
        <w:pStyle w:val="EHRBodytext"/>
        <w:rPr>
          <w:lang w:eastAsia="en-GB"/>
        </w:rPr>
      </w:pPr>
      <w:r>
        <w:rPr>
          <w:lang w:eastAsia="en-GB"/>
        </w:rPr>
        <w:lastRenderedPageBreak/>
        <w:t>4.1.5</w:t>
      </w:r>
      <w:r w:rsidR="00CB697D">
        <w:rPr>
          <w:lang w:eastAsia="en-GB"/>
        </w:rPr>
        <w:t xml:space="preserve"> </w:t>
      </w:r>
      <w:r w:rsidR="00CB697D">
        <w:rPr>
          <w:lang w:eastAsia="en-GB"/>
        </w:rPr>
        <w:tab/>
        <w:t xml:space="preserve">Where a financial penalty is considered the most appropriate course of action the council must provide guidance on how the fine levels will be set. </w:t>
      </w:r>
      <w:r w:rsidR="008B1C9B">
        <w:rPr>
          <w:lang w:eastAsia="en-GB"/>
        </w:rPr>
        <w:t>Section 5</w:t>
      </w:r>
      <w:r w:rsidR="00CB697D">
        <w:rPr>
          <w:lang w:eastAsia="en-GB"/>
        </w:rPr>
        <w:t xml:space="preserve"> of this document provides a fine setting methodology. Each case will be assessed on an individual basis using these principles and framework as a guide.</w:t>
      </w:r>
    </w:p>
    <w:p w14:paraId="17901808" w14:textId="53D1BBA5" w:rsidR="00CB697D" w:rsidRDefault="00B169EB" w:rsidP="00B169EB">
      <w:pPr>
        <w:pStyle w:val="EHR-Sub-heading1"/>
        <w:rPr>
          <w:lang w:eastAsia="en-GB"/>
        </w:rPr>
      </w:pPr>
      <w:bookmarkStart w:id="29" w:name="_Toc228375954"/>
      <w:r w:rsidRPr="00B169EB">
        <w:rPr>
          <w:lang w:eastAsia="en-GB"/>
        </w:rPr>
        <w:t>Burden of proof</w:t>
      </w:r>
      <w:bookmarkEnd w:id="29"/>
    </w:p>
    <w:p w14:paraId="41BFE4E9" w14:textId="2AE22C3B" w:rsidR="00B169EB" w:rsidRDefault="00AB1BD9" w:rsidP="00B169EB">
      <w:pPr>
        <w:pStyle w:val="EHRBodytext"/>
      </w:pPr>
      <w:r>
        <w:rPr>
          <w:lang w:eastAsia="en-GB"/>
        </w:rPr>
        <w:t>4.2.1</w:t>
      </w:r>
      <w:r w:rsidR="00E35248" w:rsidRPr="00576973">
        <w:tab/>
      </w:r>
      <w:r w:rsidR="00B169EB">
        <w:t>The same criminal burden of proof is required for a financial penalty as for a prosecution. This means that before formal action is taken the Council must be satisfied that if there was a prosecution there would be a realistic prospect of conviction.</w:t>
      </w:r>
    </w:p>
    <w:p w14:paraId="7BBD45A0" w14:textId="35C8EFE6" w:rsidR="00B169EB" w:rsidRDefault="00AB1BD9" w:rsidP="00B169EB">
      <w:pPr>
        <w:pStyle w:val="EHRBodytext"/>
      </w:pPr>
      <w:r>
        <w:t>4.2.2</w:t>
      </w:r>
      <w:r w:rsidR="00B169EB">
        <w:t xml:space="preserve"> </w:t>
      </w:r>
      <w:r w:rsidR="00B169EB">
        <w:tab/>
        <w:t>The Council must determine beyond reasonable doubt that the offence has been committed. In the case of a financial penalty this evidence would be required if an appeal is made against the decision.</w:t>
      </w:r>
    </w:p>
    <w:p w14:paraId="540ADD6F" w14:textId="222DB9AB" w:rsidR="00B169EB" w:rsidRDefault="00AB1BD9" w:rsidP="00B169EB">
      <w:pPr>
        <w:pStyle w:val="EHRBodytext"/>
      </w:pPr>
      <w:r>
        <w:t>4.2.3</w:t>
      </w:r>
      <w:r w:rsidR="00B169EB">
        <w:tab/>
        <w:t xml:space="preserve">As outlined in the Enforcement Policy, the local authority must also consult the Crown Prosecution Service code for Crown Prosecutors when determining whether to </w:t>
      </w:r>
      <w:proofErr w:type="gramStart"/>
      <w:r w:rsidR="00B169EB">
        <w:t>take action</w:t>
      </w:r>
      <w:proofErr w:type="gramEnd"/>
      <w:r w:rsidR="00B169EB">
        <w:t>. There are two stages to this code:</w:t>
      </w:r>
    </w:p>
    <w:p w14:paraId="39EA4D8B" w14:textId="2FE79D8D" w:rsidR="00B169EB" w:rsidRDefault="00B169EB" w:rsidP="00AB1BD9">
      <w:pPr>
        <w:pStyle w:val="EHRBodytext"/>
        <w:numPr>
          <w:ilvl w:val="0"/>
          <w:numId w:val="16"/>
        </w:numPr>
      </w:pPr>
      <w:r>
        <w:t xml:space="preserve">The evidential test; and </w:t>
      </w:r>
    </w:p>
    <w:p w14:paraId="5E6A20CF" w14:textId="3C61DA0B" w:rsidR="00AD7359" w:rsidRPr="00576973" w:rsidRDefault="00B169EB" w:rsidP="00AB1BD9">
      <w:pPr>
        <w:pStyle w:val="EHRBodytext"/>
        <w:numPr>
          <w:ilvl w:val="0"/>
          <w:numId w:val="16"/>
        </w:numPr>
        <w:rPr>
          <w:lang w:eastAsia="en-GB"/>
        </w:rPr>
      </w:pPr>
      <w:r>
        <w:t>The public interest test.</w:t>
      </w:r>
      <w:r w:rsidR="00E35248" w:rsidRPr="00576973">
        <w:rPr>
          <w:lang w:eastAsia="en-GB"/>
        </w:rPr>
        <w:t xml:space="preserve"> </w:t>
      </w:r>
    </w:p>
    <w:p w14:paraId="7ADCF780" w14:textId="507CDF41" w:rsidR="0031165A" w:rsidRDefault="00B169EB" w:rsidP="00B169EB">
      <w:pPr>
        <w:pStyle w:val="EHR-Sub-heading1"/>
      </w:pPr>
      <w:bookmarkStart w:id="30" w:name="_Toc228375955"/>
      <w:r w:rsidRPr="00B169EB">
        <w:t>Procedure and appeals</w:t>
      </w:r>
      <w:bookmarkEnd w:id="30"/>
    </w:p>
    <w:p w14:paraId="2F78BCC0" w14:textId="5BC8F881" w:rsidR="00B169EB" w:rsidRDefault="008C3D3B" w:rsidP="00B169EB">
      <w:pPr>
        <w:pStyle w:val="EHRBodytext"/>
      </w:pPr>
      <w:r>
        <w:t>4.3.1</w:t>
      </w:r>
      <w:r w:rsidR="00B169EB">
        <w:tab/>
        <w:t xml:space="preserve">The procedure for imposing a financial penalty is set out at Schedule 13A of the Housing Act 2004 and summarised in the </w:t>
      </w:r>
      <w:r w:rsidR="008B1C9B">
        <w:t>‘</w:t>
      </w:r>
      <w:r w:rsidRPr="008C3D3B">
        <w:t>Renters' Rights Act 2025 and other housing legislation</w:t>
      </w:r>
      <w:r>
        <w:t xml:space="preserve"> Guidance</w:t>
      </w:r>
      <w:r w:rsidR="008B1C9B">
        <w:t>’</w:t>
      </w:r>
      <w:r>
        <w:t xml:space="preserve"> by MHCLG issued in November 2025</w:t>
      </w:r>
      <w:r w:rsidR="00B169EB">
        <w:t>. There is no scope</w:t>
      </w:r>
      <w:r w:rsidR="00AB1BD9">
        <w:t xml:space="preserve"> </w:t>
      </w:r>
      <w:r w:rsidR="00B169EB">
        <w:t>for the Council to deviate from this procedure and therefore it is not duplicated</w:t>
      </w:r>
      <w:r w:rsidR="00AB1BD9">
        <w:t xml:space="preserve"> </w:t>
      </w:r>
      <w:r w:rsidR="00B169EB">
        <w:t>for the purposes of this policy.</w:t>
      </w:r>
    </w:p>
    <w:p w14:paraId="53BD1E3B" w14:textId="7F9C29D6" w:rsidR="00B169EB" w:rsidRDefault="008C3D3B" w:rsidP="00B169EB">
      <w:pPr>
        <w:pStyle w:val="EHRBodytext"/>
      </w:pPr>
      <w:r>
        <w:t>4.3.2</w:t>
      </w:r>
      <w:r w:rsidR="00B169EB">
        <w:tab/>
        <w:t>At any time, if circumstances dictate, the Council may withdraw a notice or reduce the amount specified in a notice in relation to a civil penalty.</w:t>
      </w:r>
    </w:p>
    <w:p w14:paraId="0E2DD533" w14:textId="3DA75A75" w:rsidR="00B169EB" w:rsidRDefault="008C3D3B" w:rsidP="00B169EB">
      <w:pPr>
        <w:pStyle w:val="EHRBodytext"/>
      </w:pPr>
      <w:r>
        <w:t>4.3.3</w:t>
      </w:r>
      <w:r w:rsidR="00B169EB">
        <w:tab/>
        <w:t xml:space="preserve">A landlord receiving the final notice of a civil penalty may appeal to the First-tier Tribunal against the decision to impose a penalty or the penalty amount. The appeal has the effect of suspending the notice and requirement to pay </w:t>
      </w:r>
      <w:r w:rsidR="00B169EB">
        <w:tab/>
        <w:t>until determined.</w:t>
      </w:r>
    </w:p>
    <w:p w14:paraId="0BC2B8AE" w14:textId="1675DF62" w:rsidR="00B169EB" w:rsidRDefault="00B169EB" w:rsidP="00B169EB">
      <w:pPr>
        <w:pStyle w:val="EHR-Sub-heading1"/>
      </w:pPr>
      <w:bookmarkStart w:id="31" w:name="_Toc228375956"/>
      <w:r w:rsidRPr="00B169EB">
        <w:t>Enforcement and other consequences</w:t>
      </w:r>
      <w:bookmarkEnd w:id="31"/>
    </w:p>
    <w:p w14:paraId="4F64B47D" w14:textId="2CACECAE" w:rsidR="00024B49" w:rsidRDefault="00024B49" w:rsidP="00B169EB">
      <w:pPr>
        <w:pStyle w:val="EHRBodytext"/>
      </w:pPr>
      <w:r>
        <w:t>4.4.1</w:t>
      </w:r>
      <w:r w:rsidR="00B169EB">
        <w:tab/>
      </w:r>
      <w:r>
        <w:t>There are additional consequences associated with receiving a financial penalty that need to be considered.</w:t>
      </w:r>
    </w:p>
    <w:p w14:paraId="523019FE" w14:textId="4ED72172" w:rsidR="00024B49" w:rsidRDefault="00024B49" w:rsidP="00B169EB">
      <w:pPr>
        <w:pStyle w:val="EHRBodytext"/>
      </w:pPr>
      <w:r>
        <w:t xml:space="preserve">4.4.2 </w:t>
      </w:r>
      <w:r>
        <w:tab/>
        <w:t>R</w:t>
      </w:r>
      <w:r w:rsidRPr="00024B49">
        <w:t>eceiv</w:t>
      </w:r>
      <w:r>
        <w:t>ing</w:t>
      </w:r>
      <w:r w:rsidRPr="00024B49">
        <w:t xml:space="preserve"> a financial penalty</w:t>
      </w:r>
      <w:r>
        <w:t xml:space="preserve"> is </w:t>
      </w:r>
      <w:proofErr w:type="gramStart"/>
      <w:r w:rsidRPr="00024B49">
        <w:t>taken into account</w:t>
      </w:r>
      <w:proofErr w:type="gramEnd"/>
      <w:r w:rsidRPr="00024B49">
        <w:t xml:space="preserve"> </w:t>
      </w:r>
      <w:r>
        <w:t>when</w:t>
      </w:r>
      <w:r w:rsidRPr="00024B49">
        <w:t xml:space="preserve"> </w:t>
      </w:r>
      <w:r w:rsidR="00364FAA">
        <w:t>assessing</w:t>
      </w:r>
      <w:r w:rsidRPr="00024B49">
        <w:t xml:space="preserve"> whether the landlord is a fit and proper person to be the licence holder for a House in Multiple Occupation (HMO) or any other property subject to licensing.</w:t>
      </w:r>
      <w:r>
        <w:t xml:space="preserve"> This could result in a licence being refused.</w:t>
      </w:r>
    </w:p>
    <w:p w14:paraId="5C83CAD6" w14:textId="18D0C712" w:rsidR="00024B49" w:rsidRDefault="00024B49" w:rsidP="00B169EB">
      <w:pPr>
        <w:pStyle w:val="EHRBodytext"/>
      </w:pPr>
      <w:r>
        <w:lastRenderedPageBreak/>
        <w:t xml:space="preserve">4.4.3 </w:t>
      </w:r>
      <w:r>
        <w:tab/>
      </w:r>
      <w:r w:rsidRPr="00024B49">
        <w:t xml:space="preserve">Where a landlord </w:t>
      </w:r>
      <w:r w:rsidR="002801E5">
        <w:t xml:space="preserve">or property agent </w:t>
      </w:r>
      <w:r w:rsidRPr="00024B49">
        <w:t xml:space="preserve">receives two or more civil penalties over a 12-month period, </w:t>
      </w:r>
      <w:r w:rsidR="00364FAA">
        <w:t xml:space="preserve">and </w:t>
      </w:r>
      <w:r w:rsidR="002801E5">
        <w:t>where these are offences for which a banning order may be sought</w:t>
      </w:r>
      <w:r w:rsidR="00364FAA">
        <w:t>,</w:t>
      </w:r>
      <w:r w:rsidR="002801E5" w:rsidRPr="00024B49">
        <w:t xml:space="preserve"> </w:t>
      </w:r>
      <w:r w:rsidRPr="00024B49">
        <w:t>the</w:t>
      </w:r>
      <w:r>
        <w:t>n</w:t>
      </w:r>
      <w:r w:rsidRPr="00024B49">
        <w:t xml:space="preserve"> that person’s details </w:t>
      </w:r>
      <w:r>
        <w:t xml:space="preserve">will be added to </w:t>
      </w:r>
      <w:r w:rsidRPr="00024B49">
        <w:t xml:space="preserve">the </w:t>
      </w:r>
      <w:r w:rsidR="002801E5">
        <w:t>D</w:t>
      </w:r>
      <w:r w:rsidRPr="00024B49">
        <w:t xml:space="preserve">atabase of </w:t>
      </w:r>
      <w:r w:rsidR="002801E5">
        <w:t>R</w:t>
      </w:r>
      <w:r w:rsidRPr="00024B49">
        <w:t xml:space="preserve">ogue </w:t>
      </w:r>
      <w:r w:rsidR="002801E5">
        <w:t>L</w:t>
      </w:r>
      <w:r w:rsidRPr="00024B49">
        <w:t xml:space="preserve">andlords and </w:t>
      </w:r>
      <w:r w:rsidR="002801E5">
        <w:t>P</w:t>
      </w:r>
      <w:r w:rsidRPr="00024B49">
        <w:t xml:space="preserve">roperty </w:t>
      </w:r>
      <w:r w:rsidR="002801E5">
        <w:t>A</w:t>
      </w:r>
      <w:r w:rsidRPr="00024B49">
        <w:t>gents</w:t>
      </w:r>
      <w:r w:rsidR="00364FAA">
        <w:t>.</w:t>
      </w:r>
      <w:r w:rsidRPr="00024B49">
        <w:t xml:space="preserve"> An entry must be maintained for at least 2-years. </w:t>
      </w:r>
    </w:p>
    <w:p w14:paraId="0E8262B4" w14:textId="19AB4379" w:rsidR="002801E5" w:rsidRDefault="00024B49" w:rsidP="00B169EB">
      <w:pPr>
        <w:pStyle w:val="EHRBodytext"/>
      </w:pPr>
      <w:r>
        <w:t xml:space="preserve">4.4.4 </w:t>
      </w:r>
      <w:r>
        <w:tab/>
        <w:t xml:space="preserve">The Renters Rights Act introduces a </w:t>
      </w:r>
      <w:r w:rsidR="002801E5">
        <w:t>Private Rented Sector Database that is due late 2026 into 2027. This database will replace the Database of Rogue Landlords</w:t>
      </w:r>
      <w:r w:rsidR="00364FAA">
        <w:t xml:space="preserve"> detailed in 4.4.3</w:t>
      </w:r>
      <w:r w:rsidR="002801E5">
        <w:t>.</w:t>
      </w:r>
    </w:p>
    <w:p w14:paraId="5419BE79" w14:textId="56ADA0AD" w:rsidR="002801E5" w:rsidRDefault="002801E5" w:rsidP="002801E5">
      <w:pPr>
        <w:pStyle w:val="EHRBodytext"/>
      </w:pPr>
      <w:r>
        <w:t>4.4.5</w:t>
      </w:r>
      <w:r>
        <w:tab/>
        <w:t>It is intended that certain details relating to offences will be viewable to tenants and prospective tenants</w:t>
      </w:r>
      <w:r w:rsidR="00364FAA">
        <w:t xml:space="preserve"> on this database</w:t>
      </w:r>
      <w:r>
        <w:t xml:space="preserve">. </w:t>
      </w:r>
    </w:p>
    <w:p w14:paraId="3B255A4D" w14:textId="063A79F0" w:rsidR="00024B49" w:rsidRDefault="002801E5" w:rsidP="002801E5">
      <w:pPr>
        <w:pStyle w:val="EHRBodytext"/>
      </w:pPr>
      <w:r>
        <w:t xml:space="preserve">4.4.6 </w:t>
      </w:r>
      <w:r>
        <w:tab/>
        <w:t xml:space="preserve">The Council may also publicise the number of civil penalties </w:t>
      </w:r>
      <w:proofErr w:type="gramStart"/>
      <w:r>
        <w:t>issued</w:t>
      </w:r>
      <w:proofErr w:type="gramEnd"/>
      <w:r>
        <w:t xml:space="preserve"> and details of action taken against offenders as part of increasing the deterrent effect of the penalties.</w:t>
      </w:r>
    </w:p>
    <w:p w14:paraId="23B321B9" w14:textId="01A503B9" w:rsidR="001400C7" w:rsidRDefault="001400C7" w:rsidP="001400C7">
      <w:pPr>
        <w:pStyle w:val="EHRBodytext"/>
      </w:pPr>
      <w:r>
        <w:t>4.4.7</w:t>
      </w:r>
      <w:r>
        <w:tab/>
        <w:t>The Council’s powers to carry out works in default under the Housing Act 2004 are unaffected by the civil penalty provisions.</w:t>
      </w:r>
    </w:p>
    <w:p w14:paraId="76A62B44" w14:textId="33066DBE" w:rsidR="002801E5" w:rsidRDefault="002801E5" w:rsidP="002801E5">
      <w:pPr>
        <w:pStyle w:val="EHR-Sub-heading1"/>
      </w:pPr>
      <w:bookmarkStart w:id="32" w:name="_Toc228375957"/>
      <w:r>
        <w:t>Recovery of Unpaid Financial Penalties</w:t>
      </w:r>
      <w:bookmarkEnd w:id="32"/>
    </w:p>
    <w:p w14:paraId="5362727F" w14:textId="4DA64FCE" w:rsidR="00B169EB" w:rsidRDefault="002801E5" w:rsidP="00B169EB">
      <w:pPr>
        <w:pStyle w:val="EHRBodytext"/>
      </w:pPr>
      <w:r>
        <w:t xml:space="preserve">4.5.1 </w:t>
      </w:r>
      <w:r>
        <w:tab/>
      </w:r>
      <w:r w:rsidR="00B169EB">
        <w:t xml:space="preserve">Where the landlord or property agent fails to pay a financial penalty, the Council should refer the case to its legal team to consider county court for an Order of that Court. If necessary, the Council should use county court bailiffs to enforce the order and recover the debt. </w:t>
      </w:r>
    </w:p>
    <w:p w14:paraId="67C4EFBF" w14:textId="04629621" w:rsidR="002801E5" w:rsidRDefault="009B7D4B" w:rsidP="002801E5">
      <w:pPr>
        <w:pStyle w:val="EHRBodytext"/>
      </w:pPr>
      <w:r>
        <w:t xml:space="preserve">4.5.2 </w:t>
      </w:r>
      <w:r>
        <w:tab/>
        <w:t xml:space="preserve">There are </w:t>
      </w:r>
      <w:proofErr w:type="gramStart"/>
      <w:r>
        <w:t>a number of</w:t>
      </w:r>
      <w:proofErr w:type="gramEnd"/>
      <w:r>
        <w:t xml:space="preserve"> p</w:t>
      </w:r>
      <w:r w:rsidR="002801E5">
        <w:t xml:space="preserve">otential routes </w:t>
      </w:r>
      <w:r>
        <w:t xml:space="preserve">available </w:t>
      </w:r>
      <w:r w:rsidR="002801E5">
        <w:t xml:space="preserve">to </w:t>
      </w:r>
      <w:r>
        <w:t xml:space="preserve">the Council for the </w:t>
      </w:r>
      <w:r w:rsidR="002801E5">
        <w:t>recover</w:t>
      </w:r>
      <w:r>
        <w:t>y of</w:t>
      </w:r>
      <w:r w:rsidR="002801E5">
        <w:t xml:space="preserve"> </w:t>
      </w:r>
      <w:r>
        <w:t xml:space="preserve">an unpaid </w:t>
      </w:r>
      <w:r w:rsidR="002801E5">
        <w:t>debt</w:t>
      </w:r>
      <w:r>
        <w:t xml:space="preserve">, these </w:t>
      </w:r>
      <w:r w:rsidR="002801E5">
        <w:t xml:space="preserve">are: </w:t>
      </w:r>
    </w:p>
    <w:p w14:paraId="5134B2F9" w14:textId="77777777" w:rsidR="002801E5" w:rsidRPr="009B7D4B" w:rsidRDefault="002801E5" w:rsidP="009B7D4B">
      <w:pPr>
        <w:pStyle w:val="EHRBodytext"/>
        <w:ind w:firstLine="0"/>
        <w:rPr>
          <w:b/>
          <w:bCs/>
        </w:rPr>
      </w:pPr>
      <w:r w:rsidRPr="009B7D4B">
        <w:rPr>
          <w:b/>
          <w:bCs/>
        </w:rPr>
        <w:t>Warrant or writ of control</w:t>
      </w:r>
    </w:p>
    <w:p w14:paraId="6DC2DC76" w14:textId="77777777" w:rsidR="002801E5" w:rsidRDefault="002801E5" w:rsidP="009B7D4B">
      <w:pPr>
        <w:pStyle w:val="EHRBodytext"/>
        <w:ind w:firstLine="0"/>
      </w:pPr>
      <w:r>
        <w:t xml:space="preserve">This commands court enforcement agents to take goods from the debtor’s home or business to satisfy the judgment debt.  </w:t>
      </w:r>
    </w:p>
    <w:p w14:paraId="2F386EB4" w14:textId="77777777" w:rsidR="002801E5" w:rsidRPr="009B7D4B" w:rsidRDefault="002801E5" w:rsidP="009B7D4B">
      <w:pPr>
        <w:pStyle w:val="EHRBodytext"/>
        <w:ind w:firstLine="0"/>
        <w:rPr>
          <w:b/>
          <w:bCs/>
        </w:rPr>
      </w:pPr>
      <w:r w:rsidRPr="009B7D4B">
        <w:rPr>
          <w:b/>
          <w:bCs/>
        </w:rPr>
        <w:t>Attachment of earnings order</w:t>
      </w:r>
    </w:p>
    <w:p w14:paraId="22FBC70F" w14:textId="77777777" w:rsidR="002801E5" w:rsidRDefault="002801E5" w:rsidP="009B7D4B">
      <w:pPr>
        <w:pStyle w:val="EHRBodytext"/>
        <w:ind w:firstLine="0"/>
      </w:pPr>
      <w:r>
        <w:t xml:space="preserve">This allows deductions to be made from the person’s salary by their employer and paid to the creditor.  </w:t>
      </w:r>
    </w:p>
    <w:p w14:paraId="7D211C5E" w14:textId="77777777" w:rsidR="002801E5" w:rsidRPr="009B7D4B" w:rsidRDefault="002801E5" w:rsidP="009B7D4B">
      <w:pPr>
        <w:pStyle w:val="EHRBodytext"/>
        <w:ind w:firstLine="0"/>
        <w:rPr>
          <w:b/>
          <w:bCs/>
        </w:rPr>
      </w:pPr>
      <w:r w:rsidRPr="009B7D4B">
        <w:rPr>
          <w:b/>
          <w:bCs/>
        </w:rPr>
        <w:t xml:space="preserve">A </w:t>
      </w:r>
      <w:proofErr w:type="gramStart"/>
      <w:r w:rsidRPr="009B7D4B">
        <w:rPr>
          <w:b/>
          <w:bCs/>
        </w:rPr>
        <w:t>third party</w:t>
      </w:r>
      <w:proofErr w:type="gramEnd"/>
      <w:r w:rsidRPr="009B7D4B">
        <w:rPr>
          <w:b/>
          <w:bCs/>
        </w:rPr>
        <w:t xml:space="preserve"> debt order</w:t>
      </w:r>
    </w:p>
    <w:p w14:paraId="7A4A2BDE" w14:textId="77777777" w:rsidR="002801E5" w:rsidRDefault="002801E5" w:rsidP="009B7D4B">
      <w:pPr>
        <w:pStyle w:val="EHRBodytext"/>
        <w:ind w:firstLine="0"/>
      </w:pPr>
      <w:r>
        <w:t xml:space="preserve">This means that money in a debtor’s bank or building society account can be frozen for the benefit of the creditor.  </w:t>
      </w:r>
    </w:p>
    <w:p w14:paraId="35C3E049" w14:textId="77777777" w:rsidR="002801E5" w:rsidRPr="009B7D4B" w:rsidRDefault="002801E5" w:rsidP="009B7D4B">
      <w:pPr>
        <w:pStyle w:val="EHRBodytext"/>
        <w:ind w:firstLine="0"/>
        <w:rPr>
          <w:b/>
          <w:bCs/>
        </w:rPr>
      </w:pPr>
      <w:r w:rsidRPr="009B7D4B">
        <w:rPr>
          <w:b/>
          <w:bCs/>
        </w:rPr>
        <w:t>A charging order</w:t>
      </w:r>
    </w:p>
    <w:p w14:paraId="3680244A" w14:textId="77777777" w:rsidR="002801E5" w:rsidRDefault="002801E5" w:rsidP="009B7D4B">
      <w:pPr>
        <w:pStyle w:val="EHRBodytext"/>
        <w:ind w:firstLine="0"/>
      </w:pPr>
      <w:r>
        <w:t xml:space="preserve">This prevents the person or organisation from selling an asset, usually a property, without paying the amount due under the charging order. This could also allow the </w:t>
      </w:r>
      <w:proofErr w:type="spellStart"/>
      <w:r>
        <w:t>chargee</w:t>
      </w:r>
      <w:proofErr w:type="spellEnd"/>
      <w:r>
        <w:t xml:space="preserve"> to recover the debt by enforcing the sale of the asset.  </w:t>
      </w:r>
    </w:p>
    <w:p w14:paraId="421839F7" w14:textId="77777777" w:rsidR="002801E5" w:rsidRPr="009B7D4B" w:rsidRDefault="002801E5" w:rsidP="009B7D4B">
      <w:pPr>
        <w:pStyle w:val="EHRBodytext"/>
        <w:ind w:firstLine="0"/>
        <w:rPr>
          <w:b/>
          <w:bCs/>
        </w:rPr>
      </w:pPr>
      <w:r w:rsidRPr="009B7D4B">
        <w:rPr>
          <w:b/>
          <w:bCs/>
        </w:rPr>
        <w:t>Bankruptcy proceedings </w:t>
      </w:r>
    </w:p>
    <w:p w14:paraId="36748EF9" w14:textId="77777777" w:rsidR="002801E5" w:rsidRDefault="002801E5" w:rsidP="009B7D4B">
      <w:pPr>
        <w:pStyle w:val="EHRBodytext"/>
        <w:ind w:firstLine="0"/>
      </w:pPr>
      <w:r>
        <w:t xml:space="preserve">This entails a creditor petitioning the court to make a bankruptcy order following which the trustee-in-bankruptcy collects the debtor’s assets and distributes </w:t>
      </w:r>
      <w:r>
        <w:lastRenderedPageBreak/>
        <w:t xml:space="preserve">them amongst the bankrupt’s creditors in accordance with insolvency law. The amount of the debt must be at least £5,000. </w:t>
      </w:r>
    </w:p>
    <w:p w14:paraId="656BE9F3" w14:textId="271730B9" w:rsidR="00B169EB" w:rsidRDefault="009B7D4B" w:rsidP="00B169EB">
      <w:pPr>
        <w:pStyle w:val="EHRBodytext"/>
      </w:pPr>
      <w:r>
        <w:t xml:space="preserve">4.5.3 </w:t>
      </w:r>
      <w:r>
        <w:tab/>
      </w:r>
      <w:r w:rsidR="00B169EB">
        <w:t xml:space="preserve">Where </w:t>
      </w:r>
      <w:r>
        <w:t xml:space="preserve">possible </w:t>
      </w:r>
      <w:r w:rsidR="00B169EB">
        <w:t xml:space="preserve">the </w:t>
      </w:r>
      <w:r>
        <w:t xml:space="preserve">Council will work with the landlord to ensure payment of the penalty is achieved. In some circumstances it may be possible </w:t>
      </w:r>
      <w:r w:rsidRPr="009B7D4B">
        <w:t>to agree payment plans with debtors to spread the payment of the debt</w:t>
      </w:r>
      <w:r>
        <w:t xml:space="preserve">. These agreements will not extend </w:t>
      </w:r>
      <w:r w:rsidRPr="009B7D4B">
        <w:t>beyond one year.</w:t>
      </w:r>
      <w:r>
        <w:t xml:space="preserve"> </w:t>
      </w:r>
    </w:p>
    <w:p w14:paraId="77FAEA3D" w14:textId="354C2E7D" w:rsidR="00B169EB" w:rsidRDefault="001400C7" w:rsidP="00B169EB">
      <w:pPr>
        <w:pStyle w:val="EHRBodytext"/>
      </w:pPr>
      <w:r>
        <w:t xml:space="preserve">4.5.4 </w:t>
      </w:r>
      <w:r>
        <w:tab/>
        <w:t xml:space="preserve">The Council will </w:t>
      </w:r>
      <w:r w:rsidR="009B7D4B" w:rsidRPr="009B7D4B">
        <w:t xml:space="preserve">consider the circumstances of the debtor and the amount of the debt before deciding on how best to collect it. </w:t>
      </w:r>
      <w:r>
        <w:t>For example, o</w:t>
      </w:r>
      <w:r w:rsidR="009B7D4B" w:rsidRPr="009B7D4B">
        <w:t>btaining a charging order on a property may</w:t>
      </w:r>
      <w:r>
        <w:t xml:space="preserve"> </w:t>
      </w:r>
      <w:r w:rsidR="009B7D4B" w:rsidRPr="009B7D4B">
        <w:t xml:space="preserve">be </w:t>
      </w:r>
      <w:r>
        <w:t xml:space="preserve">the </w:t>
      </w:r>
      <w:r w:rsidR="009B7D4B" w:rsidRPr="009B7D4B">
        <w:t xml:space="preserve">most effective </w:t>
      </w:r>
      <w:r>
        <w:t xml:space="preserve">method </w:t>
      </w:r>
      <w:r w:rsidR="009B7D4B" w:rsidRPr="009B7D4B">
        <w:t xml:space="preserve">where </w:t>
      </w:r>
      <w:r>
        <w:t>the</w:t>
      </w:r>
      <w:r w:rsidR="009B7D4B" w:rsidRPr="009B7D4B">
        <w:t xml:space="preserve"> rental property </w:t>
      </w:r>
      <w:r>
        <w:t xml:space="preserve">is </w:t>
      </w:r>
      <w:r w:rsidR="009B7D4B" w:rsidRPr="009B7D4B">
        <w:t xml:space="preserve">owned by the debtor and is free of other charges, </w:t>
      </w:r>
      <w:r>
        <w:t xml:space="preserve">this will </w:t>
      </w:r>
      <w:r w:rsidR="009B7D4B" w:rsidRPr="009B7D4B">
        <w:t>increas</w:t>
      </w:r>
      <w:r>
        <w:t>e</w:t>
      </w:r>
      <w:r w:rsidR="009B7D4B" w:rsidRPr="009B7D4B">
        <w:t xml:space="preserve"> the likelihood </w:t>
      </w:r>
      <w:r w:rsidR="00364FAA">
        <w:t xml:space="preserve">of </w:t>
      </w:r>
      <w:r w:rsidR="009B7D4B" w:rsidRPr="009B7D4B">
        <w:t xml:space="preserve">the </w:t>
      </w:r>
      <w:r>
        <w:t xml:space="preserve">Council </w:t>
      </w:r>
      <w:r w:rsidR="009B7D4B" w:rsidRPr="009B7D4B">
        <w:t>being able to enforce a sale and there being sufficient equity to meet the debt.</w:t>
      </w:r>
    </w:p>
    <w:p w14:paraId="185F748E" w14:textId="77777777" w:rsidR="00B169EB" w:rsidRDefault="00B169EB" w:rsidP="00B169EB">
      <w:pPr>
        <w:pStyle w:val="EHRMajorheading"/>
      </w:pPr>
      <w:bookmarkStart w:id="33" w:name="_Toc228375958"/>
      <w:r>
        <w:t>Financial Penalties – Principles and Methodology</w:t>
      </w:r>
      <w:bookmarkEnd w:id="33"/>
      <w:r>
        <w:t xml:space="preserve"> </w:t>
      </w:r>
    </w:p>
    <w:p w14:paraId="0DCA7009" w14:textId="276B45C4" w:rsidR="00B169EB" w:rsidRDefault="00B169EB" w:rsidP="00B169EB">
      <w:pPr>
        <w:pStyle w:val="EHR-Sub-heading1"/>
      </w:pPr>
      <w:bookmarkStart w:id="34" w:name="_Toc228375959"/>
      <w:r>
        <w:t>Guidance</w:t>
      </w:r>
      <w:bookmarkEnd w:id="34"/>
    </w:p>
    <w:p w14:paraId="7D5619F6" w14:textId="58400860" w:rsidR="00B169EB" w:rsidRDefault="00B169EB" w:rsidP="00CE0E86">
      <w:pPr>
        <w:pStyle w:val="EHRBodytext"/>
        <w:numPr>
          <w:ilvl w:val="2"/>
          <w:numId w:val="1"/>
        </w:numPr>
      </w:pPr>
      <w:r>
        <w:t>The government has issued guidance under the Renters’ Rights Act 2025 and other housing legislation</w:t>
      </w:r>
      <w:r w:rsidR="00B00754">
        <w:t xml:space="preserve"> on setting financial penalties</w:t>
      </w:r>
      <w:r>
        <w:t>. Th</w:t>
      </w:r>
      <w:r w:rsidR="00A716C2">
        <w:t xml:space="preserve">is policy </w:t>
      </w:r>
      <w:r>
        <w:t>has regard to th</w:t>
      </w:r>
      <w:r w:rsidR="00B00754">
        <w:t>e</w:t>
      </w:r>
      <w:r>
        <w:t xml:space="preserve"> guidance in </w:t>
      </w:r>
      <w:r w:rsidR="00B00754">
        <w:t xml:space="preserve">determining the level </w:t>
      </w:r>
      <w:r>
        <w:t>of civil penalties</w:t>
      </w:r>
      <w:r w:rsidR="00B00754">
        <w:t xml:space="preserve"> to be issued</w:t>
      </w:r>
      <w:r>
        <w:t xml:space="preserve">. </w:t>
      </w:r>
    </w:p>
    <w:p w14:paraId="01E34AF6" w14:textId="385F689F" w:rsidR="00B169EB" w:rsidRDefault="00B00754" w:rsidP="00CE0E86">
      <w:pPr>
        <w:pStyle w:val="EHRBodytext"/>
        <w:numPr>
          <w:ilvl w:val="2"/>
          <w:numId w:val="1"/>
        </w:numPr>
      </w:pPr>
      <w:r>
        <w:t xml:space="preserve">As part of the </w:t>
      </w:r>
      <w:r w:rsidR="00364FAA">
        <w:t xml:space="preserve">fee setting principles </w:t>
      </w:r>
      <w:r w:rsidR="00B169EB">
        <w:t>the Council will consider the following factors:</w:t>
      </w:r>
    </w:p>
    <w:p w14:paraId="07BF753F" w14:textId="4C31B878" w:rsidR="00B169EB" w:rsidRDefault="00B169EB" w:rsidP="00A716C2">
      <w:pPr>
        <w:pStyle w:val="EHRBodytext"/>
        <w:numPr>
          <w:ilvl w:val="0"/>
          <w:numId w:val="17"/>
        </w:numPr>
      </w:pPr>
      <w:r>
        <w:t xml:space="preserve">Culpability and track record of the </w:t>
      </w:r>
      <w:r w:rsidR="00A716C2">
        <w:t>offender.</w:t>
      </w:r>
    </w:p>
    <w:p w14:paraId="57019601" w14:textId="5AB61724" w:rsidR="00B169EB" w:rsidRDefault="00B169EB" w:rsidP="00A716C2">
      <w:pPr>
        <w:pStyle w:val="EHRBodytext"/>
        <w:numPr>
          <w:ilvl w:val="0"/>
          <w:numId w:val="17"/>
        </w:numPr>
      </w:pPr>
      <w:r>
        <w:t xml:space="preserve">Severity of the </w:t>
      </w:r>
      <w:r w:rsidR="00A716C2">
        <w:t>offence.</w:t>
      </w:r>
    </w:p>
    <w:p w14:paraId="72E483F6" w14:textId="7715BCAD" w:rsidR="00B169EB" w:rsidRDefault="00B169EB" w:rsidP="00A716C2">
      <w:pPr>
        <w:pStyle w:val="EHRBodytext"/>
        <w:numPr>
          <w:ilvl w:val="0"/>
          <w:numId w:val="17"/>
        </w:numPr>
      </w:pPr>
      <w:r>
        <w:t>Vulnerability of occupants</w:t>
      </w:r>
      <w:r w:rsidR="00A716C2">
        <w:t>.</w:t>
      </w:r>
    </w:p>
    <w:p w14:paraId="43A75C98" w14:textId="76034908" w:rsidR="00B169EB" w:rsidRDefault="00B169EB" w:rsidP="00A716C2">
      <w:pPr>
        <w:pStyle w:val="EHRBodytext"/>
        <w:numPr>
          <w:ilvl w:val="0"/>
          <w:numId w:val="17"/>
        </w:numPr>
      </w:pPr>
      <w:r>
        <w:t xml:space="preserve">The harm caused to the </w:t>
      </w:r>
      <w:r w:rsidR="00A716C2">
        <w:t>tenant.</w:t>
      </w:r>
    </w:p>
    <w:p w14:paraId="0698002D" w14:textId="0E7A0244" w:rsidR="00B169EB" w:rsidRDefault="00B169EB" w:rsidP="00A716C2">
      <w:pPr>
        <w:pStyle w:val="EHRBodytext"/>
        <w:numPr>
          <w:ilvl w:val="0"/>
          <w:numId w:val="17"/>
        </w:numPr>
      </w:pPr>
      <w:r>
        <w:t xml:space="preserve">Proportionate punishment of the </w:t>
      </w:r>
      <w:r w:rsidR="00A716C2">
        <w:t>offender.</w:t>
      </w:r>
    </w:p>
    <w:p w14:paraId="104B605E" w14:textId="4A3C9CF5" w:rsidR="00B169EB" w:rsidRDefault="00B169EB" w:rsidP="00A716C2">
      <w:pPr>
        <w:pStyle w:val="EHRBodytext"/>
        <w:numPr>
          <w:ilvl w:val="0"/>
          <w:numId w:val="17"/>
        </w:numPr>
      </w:pPr>
      <w:r>
        <w:t xml:space="preserve">Deter the offender from repeating the </w:t>
      </w:r>
      <w:r w:rsidR="00A716C2">
        <w:t>offence.</w:t>
      </w:r>
    </w:p>
    <w:p w14:paraId="36BCBB75" w14:textId="43AA43A4" w:rsidR="00B169EB" w:rsidRDefault="00B169EB" w:rsidP="00A716C2">
      <w:pPr>
        <w:pStyle w:val="EHRBodytext"/>
        <w:numPr>
          <w:ilvl w:val="0"/>
          <w:numId w:val="17"/>
        </w:numPr>
      </w:pPr>
      <w:r>
        <w:t xml:space="preserve">Deter others from committing similar </w:t>
      </w:r>
      <w:r w:rsidR="00A716C2">
        <w:t>offences.</w:t>
      </w:r>
    </w:p>
    <w:p w14:paraId="01705205" w14:textId="584B000F" w:rsidR="00B169EB" w:rsidRDefault="00B169EB" w:rsidP="00A716C2">
      <w:pPr>
        <w:pStyle w:val="EHRBodytext"/>
        <w:numPr>
          <w:ilvl w:val="0"/>
          <w:numId w:val="17"/>
        </w:numPr>
      </w:pPr>
      <w:r>
        <w:t xml:space="preserve">Remove any financial benefit the offender may have obtained </w:t>
      </w:r>
      <w:proofErr w:type="gramStart"/>
      <w:r>
        <w:t>as a result of</w:t>
      </w:r>
      <w:proofErr w:type="gramEnd"/>
      <w:r>
        <w:t xml:space="preserve"> committing the offence</w:t>
      </w:r>
      <w:r w:rsidR="00A716C2">
        <w:t>.</w:t>
      </w:r>
    </w:p>
    <w:p w14:paraId="4D074D7A" w14:textId="77777777" w:rsidR="00B169EB" w:rsidRDefault="00B169EB" w:rsidP="00A716C2">
      <w:pPr>
        <w:pStyle w:val="EHRBodytext"/>
        <w:numPr>
          <w:ilvl w:val="0"/>
          <w:numId w:val="17"/>
        </w:numPr>
      </w:pPr>
      <w:r>
        <w:t>Assessment of assets and income.</w:t>
      </w:r>
    </w:p>
    <w:p w14:paraId="5E8DA91F" w14:textId="6A7F247F" w:rsidR="00A716C2" w:rsidRDefault="009C7251" w:rsidP="00A716C2">
      <w:pPr>
        <w:pStyle w:val="EHRBodytext"/>
      </w:pPr>
      <w:r>
        <w:t xml:space="preserve">5.1.3 </w:t>
      </w:r>
      <w:r>
        <w:tab/>
        <w:t xml:space="preserve">The above factors are used to </w:t>
      </w:r>
      <w:r w:rsidR="00B00754">
        <w:t>assess culpability</w:t>
      </w:r>
      <w:r w:rsidR="00364FAA">
        <w:t xml:space="preserve">, </w:t>
      </w:r>
      <w:r w:rsidR="00B00754">
        <w:t>severity</w:t>
      </w:r>
      <w:r w:rsidR="00364FAA">
        <w:t xml:space="preserve"> and level of penalty</w:t>
      </w:r>
      <w:r>
        <w:t>.</w:t>
      </w:r>
    </w:p>
    <w:p w14:paraId="56289D84" w14:textId="3AC1F8E7" w:rsidR="00B169EB" w:rsidRDefault="00016732" w:rsidP="00B169EB">
      <w:pPr>
        <w:pStyle w:val="EHR-Sub-heading1"/>
      </w:pPr>
      <w:r w:rsidRPr="00576973">
        <w:t xml:space="preserve"> </w:t>
      </w:r>
      <w:bookmarkStart w:id="35" w:name="_Toc228375960"/>
      <w:r w:rsidR="00B169EB" w:rsidRPr="00B169EB">
        <w:t xml:space="preserve">Determining the offence category </w:t>
      </w:r>
      <w:r w:rsidR="00B169EB">
        <w:t>and c</w:t>
      </w:r>
      <w:r w:rsidR="00B169EB" w:rsidRPr="00B169EB">
        <w:t>ulpability</w:t>
      </w:r>
      <w:bookmarkEnd w:id="35"/>
      <w:r w:rsidRPr="00576973">
        <w:tab/>
      </w:r>
    </w:p>
    <w:p w14:paraId="226D8A64" w14:textId="21620242" w:rsidR="00B169EB" w:rsidRDefault="00A716C2" w:rsidP="00B169EB">
      <w:pPr>
        <w:pStyle w:val="EHRBodytext"/>
      </w:pPr>
      <w:r>
        <w:t>5.2.1</w:t>
      </w:r>
      <w:r w:rsidR="00016732" w:rsidRPr="00576973">
        <w:t xml:space="preserve"> </w:t>
      </w:r>
      <w:r w:rsidR="00016732" w:rsidRPr="00576973">
        <w:tab/>
      </w:r>
      <w:r w:rsidR="009C7251">
        <w:t>C</w:t>
      </w:r>
      <w:r w:rsidR="00B169EB">
        <w:t xml:space="preserve">ulpability </w:t>
      </w:r>
      <w:r w:rsidR="009C7251">
        <w:t xml:space="preserve">will be assessed </w:t>
      </w:r>
      <w:r w:rsidR="00B169EB">
        <w:t>as follows:</w:t>
      </w:r>
    </w:p>
    <w:p w14:paraId="5F62E210" w14:textId="6B944646" w:rsidR="00B169EB" w:rsidRDefault="00B169EB" w:rsidP="00A716C2">
      <w:pPr>
        <w:pStyle w:val="EHRBodytext"/>
        <w:numPr>
          <w:ilvl w:val="0"/>
          <w:numId w:val="18"/>
        </w:numPr>
      </w:pPr>
      <w:r w:rsidRPr="00A716C2">
        <w:rPr>
          <w:b/>
          <w:bCs/>
        </w:rPr>
        <w:lastRenderedPageBreak/>
        <w:t>Deliberate</w:t>
      </w:r>
      <w:r>
        <w:t xml:space="preserve"> – An intentional breach by a landlord or property agent or flagrant disregard for the law. For example, by failing to comply with a notice or regulations. </w:t>
      </w:r>
    </w:p>
    <w:p w14:paraId="37B21FE4" w14:textId="3272CCA5" w:rsidR="00B169EB" w:rsidRDefault="00B169EB" w:rsidP="00A716C2">
      <w:pPr>
        <w:pStyle w:val="EHRBodytext"/>
        <w:numPr>
          <w:ilvl w:val="0"/>
          <w:numId w:val="18"/>
        </w:numPr>
      </w:pPr>
      <w:r w:rsidRPr="00A716C2">
        <w:rPr>
          <w:b/>
          <w:bCs/>
        </w:rPr>
        <w:t>Reckless</w:t>
      </w:r>
      <w:r>
        <w:t xml:space="preserve"> – An actual foresight of, or wilful blindness to the risk of offending, but decides to take the </w:t>
      </w:r>
      <w:proofErr w:type="gramStart"/>
      <w:r>
        <w:t>risk</w:t>
      </w:r>
      <w:proofErr w:type="gramEnd"/>
      <w:r>
        <w:t xml:space="preserve"> nevertheless. For example, failing to comply with a strict liability in the HMO regulations.</w:t>
      </w:r>
    </w:p>
    <w:p w14:paraId="5187C8B1" w14:textId="1BF14260" w:rsidR="00B169EB" w:rsidRDefault="00B169EB" w:rsidP="00A716C2">
      <w:pPr>
        <w:pStyle w:val="EHRBodytext"/>
        <w:numPr>
          <w:ilvl w:val="0"/>
          <w:numId w:val="18"/>
        </w:numPr>
      </w:pPr>
      <w:r w:rsidRPr="00A716C2">
        <w:rPr>
          <w:b/>
          <w:bCs/>
        </w:rPr>
        <w:t>Negligent</w:t>
      </w:r>
      <w:r>
        <w:t xml:space="preserve"> – The failure of the landlord or property agent to take reasonable care to put in place and enforce proper systems for avoiding the offence. For example, partial compliance with a schedule of work to an enforcement notice but failure to fully comply with all schedule items.</w:t>
      </w:r>
    </w:p>
    <w:p w14:paraId="67548ADE" w14:textId="46649278" w:rsidR="00B169EB" w:rsidRDefault="00B169EB" w:rsidP="00A716C2">
      <w:pPr>
        <w:pStyle w:val="EHRBodytext"/>
        <w:numPr>
          <w:ilvl w:val="0"/>
          <w:numId w:val="18"/>
        </w:numPr>
      </w:pPr>
      <w:r w:rsidRPr="00A716C2">
        <w:rPr>
          <w:b/>
          <w:bCs/>
        </w:rPr>
        <w:t>Low or no culpability</w:t>
      </w:r>
      <w:r>
        <w:t xml:space="preserve"> – The offence committed has some fault on the part of the landlord or property agent but there are other circumstances for example obstruction by the tenant to allow a contractor access for repairs, or damage caused by tenant negligence.</w:t>
      </w:r>
    </w:p>
    <w:p w14:paraId="5509C7E8" w14:textId="660590AE" w:rsidR="00B169EB" w:rsidRDefault="00B169EB" w:rsidP="00B169EB">
      <w:pPr>
        <w:pStyle w:val="EHR-Sub-heading1"/>
      </w:pPr>
      <w:bookmarkStart w:id="36" w:name="_Toc228375961"/>
      <w:r w:rsidRPr="00B169EB">
        <w:t xml:space="preserve">Determining the level of </w:t>
      </w:r>
      <w:r>
        <w:t>s</w:t>
      </w:r>
      <w:r w:rsidRPr="00B169EB">
        <w:t>everity</w:t>
      </w:r>
      <w:bookmarkEnd w:id="36"/>
    </w:p>
    <w:p w14:paraId="092DB2AE" w14:textId="739B2E97" w:rsidR="00B169EB" w:rsidRDefault="00A716C2" w:rsidP="00B169EB">
      <w:pPr>
        <w:pStyle w:val="EHRBodytext"/>
      </w:pPr>
      <w:r>
        <w:t>5.3.1</w:t>
      </w:r>
      <w:r w:rsidR="00B169EB">
        <w:tab/>
      </w:r>
      <w:r w:rsidR="009C7251">
        <w:t>The severity of the offence will be assessed using the following criteria:</w:t>
      </w:r>
    </w:p>
    <w:p w14:paraId="392C6646" w14:textId="0A6034CE" w:rsidR="00B169EB" w:rsidRDefault="00B169EB" w:rsidP="009C7251">
      <w:pPr>
        <w:pStyle w:val="EHRBodytext"/>
        <w:numPr>
          <w:ilvl w:val="0"/>
          <w:numId w:val="19"/>
        </w:numPr>
      </w:pPr>
      <w:r w:rsidRPr="009C7251">
        <w:rPr>
          <w:b/>
          <w:bCs/>
        </w:rPr>
        <w:t>Level one – Major impact</w:t>
      </w:r>
      <w:r>
        <w:t xml:space="preserve"> – Serious and substantial risk, including imminent risk, to the health and safety of the occupiers and/or community </w:t>
      </w:r>
      <w:proofErr w:type="gramStart"/>
      <w:r>
        <w:t>as a result of</w:t>
      </w:r>
      <w:proofErr w:type="gramEnd"/>
      <w:r>
        <w:t xml:space="preserve"> the offence, with potentially </w:t>
      </w:r>
      <w:r w:rsidR="00364FAA">
        <w:t>life-threatening</w:t>
      </w:r>
      <w:r>
        <w:t xml:space="preserve"> results or loss of major limbs. Housing defects that may present such a risk maybe associated with electrical hazards, carbon monoxide exposure, fire safety risks, risk of explosion or structural collapse, exposure to asbestos or radiation. This is not an exhaustive list </w:t>
      </w:r>
      <w:proofErr w:type="gramStart"/>
      <w:r>
        <w:t>and also</w:t>
      </w:r>
      <w:proofErr w:type="gramEnd"/>
      <w:r>
        <w:t xml:space="preserve"> includes property management failings that could lead to a major risk to the occupiers/neighbours and/or community. Where the risk has been realised the fine is likely to be greater or there may be a decision to prosecute as an alternative.</w:t>
      </w:r>
    </w:p>
    <w:p w14:paraId="2BFF7843" w14:textId="610120AA" w:rsidR="00B169EB" w:rsidRDefault="00B169EB" w:rsidP="009C7251">
      <w:pPr>
        <w:pStyle w:val="EHRBodytext"/>
        <w:numPr>
          <w:ilvl w:val="0"/>
          <w:numId w:val="19"/>
        </w:numPr>
      </w:pPr>
      <w:r w:rsidRPr="009C7251">
        <w:rPr>
          <w:b/>
          <w:bCs/>
        </w:rPr>
        <w:t>Level two - Serious Impact</w:t>
      </w:r>
      <w:r>
        <w:t xml:space="preserve"> – Serious risks to the health and safety of the occupiers and/or immediate neighbours, leading to serious injury or disease requiring prolonged treatment and/or hospital admission. Housing defects that may present such a risk maybe associated with falls, lack of heating, collision and entrapment, any other hazards or management issues that could lead to a serious risk to the occupiers and immediate neighbours. </w:t>
      </w:r>
    </w:p>
    <w:p w14:paraId="03A3EDD7" w14:textId="07CCDBC8" w:rsidR="00B169EB" w:rsidRDefault="00B169EB" w:rsidP="009C7251">
      <w:pPr>
        <w:pStyle w:val="EHRBodytext"/>
        <w:numPr>
          <w:ilvl w:val="0"/>
          <w:numId w:val="19"/>
        </w:numPr>
      </w:pPr>
      <w:r w:rsidRPr="009C7251">
        <w:rPr>
          <w:b/>
          <w:bCs/>
        </w:rPr>
        <w:t>Level three – Minor impact</w:t>
      </w:r>
      <w:r>
        <w:t xml:space="preserve"> – Risk of injury or disease to the occupiers resulting in treatment at the doctors. Examples of housing defects that could present such a risk include damp, mould or hygiene issues and any other hazards or management issues that could lead to a risk to the occupiers.</w:t>
      </w:r>
    </w:p>
    <w:p w14:paraId="27239DD7" w14:textId="2CAC91EA" w:rsidR="00725B69" w:rsidRPr="00B169EB" w:rsidRDefault="00B169EB" w:rsidP="00B169EB">
      <w:pPr>
        <w:pStyle w:val="EHR-Sub-heading1"/>
        <w:rPr>
          <w:sz w:val="24"/>
        </w:rPr>
      </w:pPr>
      <w:bookmarkStart w:id="37" w:name="_Toc228375962"/>
      <w:r w:rsidRPr="00B169EB">
        <w:t>Determining the level of Fine</w:t>
      </w:r>
      <w:bookmarkEnd w:id="37"/>
    </w:p>
    <w:p w14:paraId="5E55D2DE" w14:textId="77777777" w:rsidR="00D67F69" w:rsidRDefault="002E375E" w:rsidP="00F31608">
      <w:pPr>
        <w:pStyle w:val="EHRBodytext"/>
        <w:numPr>
          <w:ilvl w:val="2"/>
          <w:numId w:val="2"/>
        </w:numPr>
      </w:pPr>
      <w:r>
        <w:t xml:space="preserve">The Ministry of Housing, Communities &amp; Local Government has provided statutory guidance that prescribes starting points for all breaches and offences based on the seriousness of the breach or offence. </w:t>
      </w:r>
    </w:p>
    <w:p w14:paraId="50C0FC87" w14:textId="2EBCB7D9" w:rsidR="00D67F69" w:rsidRDefault="00D67F69" w:rsidP="00F31608">
      <w:pPr>
        <w:pStyle w:val="EHRBodytext"/>
        <w:numPr>
          <w:ilvl w:val="2"/>
          <w:numId w:val="2"/>
        </w:numPr>
      </w:pPr>
      <w:r>
        <w:lastRenderedPageBreak/>
        <w:t xml:space="preserve">The guidance sets out a framework for determining the penalty amount for </w:t>
      </w:r>
      <w:proofErr w:type="gramStart"/>
      <w:r>
        <w:t>a number of</w:t>
      </w:r>
      <w:proofErr w:type="gramEnd"/>
      <w:r>
        <w:t xml:space="preserve"> breaches and offences as detailed below.</w:t>
      </w:r>
    </w:p>
    <w:p w14:paraId="4BBD9820" w14:textId="77777777" w:rsidR="00D67F69" w:rsidRDefault="00D67F69" w:rsidP="00D67F69">
      <w:pPr>
        <w:pStyle w:val="EHRBodytext"/>
        <w:ind w:left="0" w:firstLine="0"/>
      </w:pP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5385"/>
        <w:gridCol w:w="1697"/>
      </w:tblGrid>
      <w:tr w:rsidR="00D67F69" w14:paraId="4851C685" w14:textId="77777777" w:rsidTr="00D67F69">
        <w:tc>
          <w:tcPr>
            <w:tcW w:w="9492" w:type="dxa"/>
            <w:gridSpan w:val="3"/>
            <w:shd w:val="clear" w:color="auto" w:fill="D9D9D9" w:themeFill="background1" w:themeFillShade="D9"/>
          </w:tcPr>
          <w:p w14:paraId="16A4B8C9" w14:textId="77777777" w:rsidR="00D67F69" w:rsidRPr="009755BE" w:rsidRDefault="00D67F69" w:rsidP="0021614C">
            <w:pPr>
              <w:pStyle w:val="EHRBodytext"/>
              <w:ind w:left="0" w:firstLine="0"/>
              <w:rPr>
                <w:b/>
                <w:bCs/>
              </w:rPr>
            </w:pPr>
            <w:r w:rsidRPr="009755BE">
              <w:rPr>
                <w:b/>
                <w:bCs/>
              </w:rPr>
              <w:t>Protection from Eviction Act 1977</w:t>
            </w:r>
          </w:p>
        </w:tc>
      </w:tr>
      <w:tr w:rsidR="00D67F69" w14:paraId="2CF43D63" w14:textId="77777777" w:rsidTr="00D67F69">
        <w:tc>
          <w:tcPr>
            <w:tcW w:w="2410" w:type="dxa"/>
          </w:tcPr>
          <w:p w14:paraId="0439AB72" w14:textId="77777777" w:rsidR="00D67F69" w:rsidRPr="009755BE" w:rsidRDefault="00D67F69" w:rsidP="0021614C">
            <w:pPr>
              <w:pStyle w:val="EHRBodytext"/>
              <w:ind w:left="0" w:firstLine="0"/>
              <w:rPr>
                <w:b/>
                <w:bCs/>
              </w:rPr>
            </w:pPr>
            <w:r w:rsidRPr="009755BE">
              <w:rPr>
                <w:b/>
                <w:bCs/>
              </w:rPr>
              <w:t>Offence</w:t>
            </w:r>
          </w:p>
        </w:tc>
        <w:tc>
          <w:tcPr>
            <w:tcW w:w="5385" w:type="dxa"/>
          </w:tcPr>
          <w:p w14:paraId="3372E0B3" w14:textId="77777777" w:rsidR="00D67F69" w:rsidRDefault="00D67F69" w:rsidP="0021614C">
            <w:pPr>
              <w:pStyle w:val="EHRBodytext"/>
              <w:ind w:left="0" w:firstLine="0"/>
            </w:pPr>
            <w:r>
              <w:t>Unlawful eviction and harassment (s1(2) and (3))</w:t>
            </w:r>
          </w:p>
        </w:tc>
        <w:tc>
          <w:tcPr>
            <w:tcW w:w="1697" w:type="dxa"/>
          </w:tcPr>
          <w:p w14:paraId="5922F3EA" w14:textId="77777777" w:rsidR="00D67F69" w:rsidRDefault="00D67F69" w:rsidP="0021614C">
            <w:pPr>
              <w:pStyle w:val="EHRBodytext"/>
              <w:ind w:left="0" w:firstLine="0"/>
            </w:pPr>
            <w:r>
              <w:t>£35,000</w:t>
            </w:r>
          </w:p>
        </w:tc>
      </w:tr>
      <w:tr w:rsidR="00D67F69" w14:paraId="2E9F986B" w14:textId="77777777" w:rsidTr="00D67F69">
        <w:tc>
          <w:tcPr>
            <w:tcW w:w="9492" w:type="dxa"/>
            <w:gridSpan w:val="3"/>
            <w:shd w:val="clear" w:color="auto" w:fill="D9D9D9" w:themeFill="background1" w:themeFillShade="D9"/>
          </w:tcPr>
          <w:p w14:paraId="30E3CF97" w14:textId="77777777" w:rsidR="00D67F69" w:rsidRPr="009755BE" w:rsidRDefault="00D67F69" w:rsidP="0021614C">
            <w:pPr>
              <w:pStyle w:val="EHRBodytext"/>
              <w:ind w:left="0" w:firstLine="0"/>
              <w:rPr>
                <w:b/>
                <w:bCs/>
              </w:rPr>
            </w:pPr>
            <w:r w:rsidRPr="009755BE">
              <w:rPr>
                <w:b/>
                <w:bCs/>
              </w:rPr>
              <w:t xml:space="preserve">Housing Act 1988 </w:t>
            </w:r>
          </w:p>
        </w:tc>
      </w:tr>
      <w:tr w:rsidR="00D67F69" w14:paraId="5464CE39" w14:textId="77777777" w:rsidTr="00D67F69">
        <w:tc>
          <w:tcPr>
            <w:tcW w:w="2410" w:type="dxa"/>
          </w:tcPr>
          <w:p w14:paraId="3BA6FC11" w14:textId="77777777" w:rsidR="00D67F69" w:rsidRPr="009755BE" w:rsidRDefault="00D67F69" w:rsidP="0021614C">
            <w:pPr>
              <w:pStyle w:val="EHRBodytext"/>
              <w:ind w:left="0" w:firstLine="0"/>
              <w:rPr>
                <w:b/>
                <w:bCs/>
              </w:rPr>
            </w:pPr>
            <w:r w:rsidRPr="009755BE">
              <w:rPr>
                <w:b/>
                <w:bCs/>
              </w:rPr>
              <w:t>Breach</w:t>
            </w:r>
          </w:p>
        </w:tc>
        <w:tc>
          <w:tcPr>
            <w:tcW w:w="5385" w:type="dxa"/>
          </w:tcPr>
          <w:p w14:paraId="1020DEB0" w14:textId="77777777" w:rsidR="00D67F69" w:rsidRDefault="00D67F69" w:rsidP="0021614C">
            <w:pPr>
              <w:pStyle w:val="EHRBodytext"/>
              <w:ind w:left="0" w:firstLine="0"/>
            </w:pPr>
            <w:r>
              <w:t>Attempting to let the property for a fixed term (s16E(1)(a))</w:t>
            </w:r>
          </w:p>
        </w:tc>
        <w:tc>
          <w:tcPr>
            <w:tcW w:w="1697" w:type="dxa"/>
          </w:tcPr>
          <w:p w14:paraId="580BB67D" w14:textId="77777777" w:rsidR="00D67F69" w:rsidRDefault="00D67F69" w:rsidP="0021614C">
            <w:pPr>
              <w:pStyle w:val="EHRBodytext"/>
              <w:ind w:left="0" w:firstLine="0"/>
            </w:pPr>
            <w:r>
              <w:t>£4000</w:t>
            </w:r>
          </w:p>
        </w:tc>
      </w:tr>
      <w:tr w:rsidR="00D67F69" w14:paraId="64D842C9" w14:textId="77777777" w:rsidTr="00D67F69">
        <w:tc>
          <w:tcPr>
            <w:tcW w:w="2410" w:type="dxa"/>
          </w:tcPr>
          <w:p w14:paraId="3A48415D" w14:textId="77777777" w:rsidR="00D67F69" w:rsidRPr="009755BE" w:rsidRDefault="00D67F69" w:rsidP="0021614C">
            <w:pPr>
              <w:pStyle w:val="EHRBodytext"/>
              <w:ind w:left="0" w:firstLine="0"/>
              <w:rPr>
                <w:b/>
                <w:bCs/>
              </w:rPr>
            </w:pPr>
            <w:r w:rsidRPr="009755BE">
              <w:rPr>
                <w:b/>
                <w:bCs/>
              </w:rPr>
              <w:t>Breach</w:t>
            </w:r>
          </w:p>
        </w:tc>
        <w:tc>
          <w:tcPr>
            <w:tcW w:w="5385" w:type="dxa"/>
          </w:tcPr>
          <w:p w14:paraId="010072C4" w14:textId="77777777" w:rsidR="00D67F69" w:rsidRDefault="00D67F69" w:rsidP="0021614C">
            <w:pPr>
              <w:pStyle w:val="EHRBodytext"/>
              <w:ind w:left="0" w:firstLine="0"/>
            </w:pPr>
            <w:r>
              <w:t>Attempting to end the tenancy by service of a notice to quit (s16E(1)(b))</w:t>
            </w:r>
          </w:p>
        </w:tc>
        <w:tc>
          <w:tcPr>
            <w:tcW w:w="1697" w:type="dxa"/>
          </w:tcPr>
          <w:p w14:paraId="093F84DA" w14:textId="77777777" w:rsidR="00D67F69" w:rsidRDefault="00D67F69" w:rsidP="0021614C">
            <w:pPr>
              <w:pStyle w:val="EHRBodytext"/>
              <w:ind w:left="0" w:firstLine="0"/>
            </w:pPr>
            <w:r>
              <w:t>£6000</w:t>
            </w:r>
          </w:p>
        </w:tc>
      </w:tr>
      <w:tr w:rsidR="00D67F69" w14:paraId="4F9F8925" w14:textId="77777777" w:rsidTr="00D67F69">
        <w:tc>
          <w:tcPr>
            <w:tcW w:w="2410" w:type="dxa"/>
          </w:tcPr>
          <w:p w14:paraId="57870913" w14:textId="77777777" w:rsidR="00D67F69" w:rsidRPr="009755BE" w:rsidRDefault="00D67F69" w:rsidP="0021614C">
            <w:pPr>
              <w:pStyle w:val="EHRBodytext"/>
              <w:ind w:left="0" w:firstLine="0"/>
              <w:rPr>
                <w:b/>
                <w:bCs/>
              </w:rPr>
            </w:pPr>
            <w:r w:rsidRPr="009755BE">
              <w:rPr>
                <w:b/>
                <w:bCs/>
              </w:rPr>
              <w:t>Breach</w:t>
            </w:r>
          </w:p>
        </w:tc>
        <w:tc>
          <w:tcPr>
            <w:tcW w:w="5385" w:type="dxa"/>
          </w:tcPr>
          <w:p w14:paraId="7273FD35" w14:textId="77777777" w:rsidR="00D67F69" w:rsidRDefault="00D67F69" w:rsidP="0021614C">
            <w:pPr>
              <w:pStyle w:val="EHRBodytext"/>
              <w:ind w:left="0" w:firstLine="0"/>
            </w:pPr>
            <w:r>
              <w:t>Attempting to end the tenancy orally, or require that it is ended orally (s16E(1)(c))</w:t>
            </w:r>
            <w:r>
              <w:tab/>
            </w:r>
          </w:p>
        </w:tc>
        <w:tc>
          <w:tcPr>
            <w:tcW w:w="1697" w:type="dxa"/>
          </w:tcPr>
          <w:p w14:paraId="66C5DC41" w14:textId="77777777" w:rsidR="00D67F69" w:rsidRDefault="00D67F69" w:rsidP="0021614C">
            <w:pPr>
              <w:pStyle w:val="EHRBodytext"/>
              <w:ind w:left="0" w:firstLine="0"/>
            </w:pPr>
            <w:r>
              <w:t>£6000</w:t>
            </w:r>
          </w:p>
        </w:tc>
      </w:tr>
      <w:tr w:rsidR="00D67F69" w14:paraId="03C5B44A" w14:textId="77777777" w:rsidTr="00D67F69">
        <w:tc>
          <w:tcPr>
            <w:tcW w:w="2410" w:type="dxa"/>
          </w:tcPr>
          <w:p w14:paraId="365D40FC" w14:textId="77777777" w:rsidR="00D67F69" w:rsidRPr="009755BE" w:rsidRDefault="00D67F69" w:rsidP="0021614C">
            <w:pPr>
              <w:pStyle w:val="EHRBodytext"/>
              <w:rPr>
                <w:b/>
                <w:bCs/>
              </w:rPr>
            </w:pPr>
            <w:r w:rsidRPr="009755BE">
              <w:rPr>
                <w:b/>
                <w:bCs/>
              </w:rPr>
              <w:t>Breach</w:t>
            </w:r>
          </w:p>
        </w:tc>
        <w:tc>
          <w:tcPr>
            <w:tcW w:w="5385" w:type="dxa"/>
          </w:tcPr>
          <w:p w14:paraId="3292D6A5" w14:textId="77777777" w:rsidR="00D67F69" w:rsidRDefault="00D67F69" w:rsidP="0021614C">
            <w:pPr>
              <w:pStyle w:val="EHRBodytext"/>
              <w:ind w:left="0" w:firstLine="0"/>
            </w:pPr>
            <w:r>
              <w:t>Serving a possession notice that attempts to end the tenancy outside of the prescribed section 8 process (s16E(1)(d))</w:t>
            </w:r>
            <w:r>
              <w:tab/>
            </w:r>
            <w:r>
              <w:tab/>
              <w:t xml:space="preserve"> </w:t>
            </w:r>
          </w:p>
          <w:p w14:paraId="46413C47" w14:textId="77777777" w:rsidR="00D67F69" w:rsidRDefault="00D67F69" w:rsidP="0021614C">
            <w:pPr>
              <w:pStyle w:val="EHRBodytext"/>
              <w:ind w:left="0" w:firstLine="0"/>
            </w:pPr>
          </w:p>
        </w:tc>
        <w:tc>
          <w:tcPr>
            <w:tcW w:w="1697" w:type="dxa"/>
          </w:tcPr>
          <w:p w14:paraId="4FB23C72" w14:textId="77777777" w:rsidR="00D67F69" w:rsidRDefault="00D67F69" w:rsidP="0021614C">
            <w:pPr>
              <w:pStyle w:val="EHRBodytext"/>
              <w:ind w:left="0" w:firstLine="0"/>
            </w:pPr>
            <w:r>
              <w:t>£6,000</w:t>
            </w:r>
          </w:p>
        </w:tc>
      </w:tr>
      <w:tr w:rsidR="00D67F69" w14:paraId="0AF5BDE3" w14:textId="77777777" w:rsidTr="00D67F69">
        <w:tc>
          <w:tcPr>
            <w:tcW w:w="2410" w:type="dxa"/>
          </w:tcPr>
          <w:p w14:paraId="52A22A50" w14:textId="77777777" w:rsidR="00D67F69" w:rsidRPr="009755BE" w:rsidRDefault="00D67F69" w:rsidP="0021614C">
            <w:pPr>
              <w:pStyle w:val="EHRBodytext"/>
              <w:rPr>
                <w:b/>
                <w:bCs/>
              </w:rPr>
            </w:pPr>
            <w:r w:rsidRPr="009755BE">
              <w:rPr>
                <w:b/>
                <w:bCs/>
              </w:rPr>
              <w:t>Breach</w:t>
            </w:r>
          </w:p>
        </w:tc>
        <w:tc>
          <w:tcPr>
            <w:tcW w:w="5385" w:type="dxa"/>
          </w:tcPr>
          <w:p w14:paraId="323E1814" w14:textId="77777777" w:rsidR="00D67F69" w:rsidRDefault="00D67F69" w:rsidP="0021614C">
            <w:pPr>
              <w:pStyle w:val="EHRBodytext"/>
              <w:ind w:left="0" w:firstLine="0"/>
            </w:pPr>
            <w:r>
              <w:t>Relying on a ground where the person does not reasonably believe that the landlord is/will be able to obtain possession (s16E(1)(e))</w:t>
            </w:r>
            <w:r>
              <w:tab/>
            </w:r>
            <w:r>
              <w:tab/>
              <w:t xml:space="preserve"> </w:t>
            </w:r>
          </w:p>
          <w:p w14:paraId="132E8904" w14:textId="77777777" w:rsidR="00D67F69" w:rsidRDefault="00D67F69" w:rsidP="0021614C">
            <w:pPr>
              <w:pStyle w:val="EHRBodytext"/>
              <w:ind w:left="0" w:firstLine="0"/>
            </w:pPr>
          </w:p>
        </w:tc>
        <w:tc>
          <w:tcPr>
            <w:tcW w:w="1697" w:type="dxa"/>
          </w:tcPr>
          <w:p w14:paraId="7B4B1872" w14:textId="77777777" w:rsidR="00D67F69" w:rsidRDefault="00D67F69" w:rsidP="0021614C">
            <w:pPr>
              <w:pStyle w:val="EHRBodytext"/>
              <w:ind w:left="0" w:firstLine="0"/>
            </w:pPr>
            <w:r>
              <w:t>£6,000</w:t>
            </w:r>
          </w:p>
        </w:tc>
      </w:tr>
      <w:tr w:rsidR="00D67F69" w14:paraId="08102D2B" w14:textId="77777777" w:rsidTr="00D67F69">
        <w:tc>
          <w:tcPr>
            <w:tcW w:w="2410" w:type="dxa"/>
          </w:tcPr>
          <w:p w14:paraId="1082534F" w14:textId="77777777" w:rsidR="00D67F69" w:rsidRPr="009755BE" w:rsidRDefault="00D67F69" w:rsidP="0021614C">
            <w:pPr>
              <w:pStyle w:val="EHRBodytext"/>
              <w:rPr>
                <w:b/>
                <w:bCs/>
              </w:rPr>
            </w:pPr>
            <w:r w:rsidRPr="009755BE">
              <w:rPr>
                <w:b/>
                <w:bCs/>
              </w:rPr>
              <w:t>Breach</w:t>
            </w:r>
          </w:p>
        </w:tc>
        <w:tc>
          <w:tcPr>
            <w:tcW w:w="5385" w:type="dxa"/>
          </w:tcPr>
          <w:p w14:paraId="72C2A6C2" w14:textId="77777777" w:rsidR="00D67F69" w:rsidRDefault="00D67F69" w:rsidP="0021614C">
            <w:pPr>
              <w:pStyle w:val="EHRBodytext"/>
              <w:ind w:left="0" w:firstLine="0"/>
            </w:pPr>
            <w:r>
              <w:t>Failing to provide a tenant with prior notice that a ground which requires it may be used (s16E(1)(f))</w:t>
            </w:r>
            <w:r>
              <w:tab/>
            </w:r>
            <w:r>
              <w:tab/>
              <w:t xml:space="preserve"> </w:t>
            </w:r>
          </w:p>
          <w:p w14:paraId="30844EFF" w14:textId="77777777" w:rsidR="00D67F69" w:rsidRDefault="00D67F69" w:rsidP="0021614C">
            <w:pPr>
              <w:pStyle w:val="EHRBodytext"/>
              <w:ind w:left="0" w:firstLine="0"/>
            </w:pPr>
          </w:p>
        </w:tc>
        <w:tc>
          <w:tcPr>
            <w:tcW w:w="1697" w:type="dxa"/>
          </w:tcPr>
          <w:p w14:paraId="5ED7637A" w14:textId="77777777" w:rsidR="00D67F69" w:rsidRDefault="00D67F69" w:rsidP="0021614C">
            <w:pPr>
              <w:pStyle w:val="EHRBodytext"/>
              <w:ind w:left="0" w:firstLine="0"/>
            </w:pPr>
            <w:r>
              <w:t>£3,000</w:t>
            </w:r>
          </w:p>
        </w:tc>
      </w:tr>
      <w:tr w:rsidR="00D67F69" w14:paraId="2C4323FC" w14:textId="77777777" w:rsidTr="00D67F69">
        <w:tc>
          <w:tcPr>
            <w:tcW w:w="2410" w:type="dxa"/>
          </w:tcPr>
          <w:p w14:paraId="6FA18909" w14:textId="77777777" w:rsidR="00D67F69" w:rsidRPr="009755BE" w:rsidRDefault="00D67F69" w:rsidP="0021614C">
            <w:pPr>
              <w:pStyle w:val="EHRBodytext"/>
              <w:rPr>
                <w:b/>
                <w:bCs/>
              </w:rPr>
            </w:pPr>
            <w:r w:rsidRPr="009755BE">
              <w:rPr>
                <w:b/>
                <w:bCs/>
              </w:rPr>
              <w:t>Breach</w:t>
            </w:r>
          </w:p>
        </w:tc>
        <w:tc>
          <w:tcPr>
            <w:tcW w:w="5385" w:type="dxa"/>
          </w:tcPr>
          <w:p w14:paraId="231303E0" w14:textId="77777777" w:rsidR="00D67F69" w:rsidRDefault="00D67F69" w:rsidP="0021614C">
            <w:pPr>
              <w:pStyle w:val="EHRBodytext"/>
              <w:ind w:left="0" w:firstLine="28"/>
            </w:pPr>
            <w:r>
              <w:t>Failing to issue a written statement of terms within 28 days of an assured tenancy coming into existence (s16D)</w:t>
            </w:r>
            <w:r>
              <w:tab/>
            </w:r>
          </w:p>
          <w:p w14:paraId="2B88678B" w14:textId="77777777" w:rsidR="00D67F69" w:rsidRDefault="00D67F69" w:rsidP="0021614C">
            <w:pPr>
              <w:pStyle w:val="EHRBodytext"/>
              <w:ind w:left="0" w:firstLine="0"/>
            </w:pPr>
          </w:p>
        </w:tc>
        <w:tc>
          <w:tcPr>
            <w:tcW w:w="1697" w:type="dxa"/>
          </w:tcPr>
          <w:p w14:paraId="2AF8F7B2" w14:textId="77777777" w:rsidR="00D67F69" w:rsidRDefault="00D67F69" w:rsidP="0021614C">
            <w:pPr>
              <w:pStyle w:val="EHRBodytext"/>
              <w:ind w:left="0" w:firstLine="0"/>
            </w:pPr>
            <w:r>
              <w:t>£4,000</w:t>
            </w:r>
            <w:r>
              <w:tab/>
            </w:r>
          </w:p>
        </w:tc>
      </w:tr>
      <w:tr w:rsidR="00D67F69" w14:paraId="15055C4C" w14:textId="77777777" w:rsidTr="00D67F69">
        <w:tc>
          <w:tcPr>
            <w:tcW w:w="2410" w:type="dxa"/>
          </w:tcPr>
          <w:p w14:paraId="26C8367E" w14:textId="77777777" w:rsidR="00D67F69" w:rsidRPr="009755BE" w:rsidRDefault="00D67F69" w:rsidP="0021614C">
            <w:pPr>
              <w:pStyle w:val="EHRBodytext"/>
              <w:rPr>
                <w:b/>
                <w:bCs/>
              </w:rPr>
            </w:pPr>
            <w:r w:rsidRPr="009755BE">
              <w:rPr>
                <w:b/>
                <w:bCs/>
              </w:rPr>
              <w:t>Breach</w:t>
            </w:r>
          </w:p>
        </w:tc>
        <w:tc>
          <w:tcPr>
            <w:tcW w:w="5385" w:type="dxa"/>
          </w:tcPr>
          <w:p w14:paraId="69DF3F3C" w14:textId="77777777" w:rsidR="00D67F69" w:rsidRDefault="00D67F69" w:rsidP="0021614C">
            <w:pPr>
              <w:pStyle w:val="EHRBodytext"/>
              <w:ind w:left="0" w:firstLine="0"/>
            </w:pPr>
            <w:r>
              <w:t>Failing to provide an existing tenant with prescribed information about changes made by the Renters’ Rights Act (paragraph 7 of schedule 6 to the Renters’ Rights Act 2025)</w:t>
            </w:r>
          </w:p>
          <w:p w14:paraId="3489DB3B" w14:textId="77777777" w:rsidR="00D67F69" w:rsidRDefault="00D67F69" w:rsidP="0021614C">
            <w:pPr>
              <w:pStyle w:val="EHRBodytext"/>
              <w:ind w:left="0" w:firstLine="0"/>
            </w:pPr>
          </w:p>
        </w:tc>
        <w:tc>
          <w:tcPr>
            <w:tcW w:w="1697" w:type="dxa"/>
          </w:tcPr>
          <w:p w14:paraId="27AC38A2" w14:textId="77777777" w:rsidR="00D67F69" w:rsidRDefault="00D67F69" w:rsidP="0021614C">
            <w:pPr>
              <w:pStyle w:val="EHRBodytext"/>
              <w:ind w:left="0" w:firstLine="0"/>
            </w:pPr>
            <w:r>
              <w:t>£4,000</w:t>
            </w:r>
            <w:r>
              <w:tab/>
            </w:r>
          </w:p>
        </w:tc>
      </w:tr>
      <w:tr w:rsidR="00D67F69" w14:paraId="21F79F54" w14:textId="77777777" w:rsidTr="00D67F69">
        <w:tc>
          <w:tcPr>
            <w:tcW w:w="2410" w:type="dxa"/>
          </w:tcPr>
          <w:p w14:paraId="09B280FE" w14:textId="77777777" w:rsidR="00D67F69" w:rsidRPr="009755BE" w:rsidRDefault="00D67F69" w:rsidP="0021614C">
            <w:pPr>
              <w:pStyle w:val="EHRBodytext"/>
              <w:rPr>
                <w:b/>
                <w:bCs/>
              </w:rPr>
            </w:pPr>
            <w:r w:rsidRPr="009755BE">
              <w:rPr>
                <w:b/>
                <w:bCs/>
              </w:rPr>
              <w:t>Offence</w:t>
            </w:r>
          </w:p>
        </w:tc>
        <w:tc>
          <w:tcPr>
            <w:tcW w:w="5385" w:type="dxa"/>
          </w:tcPr>
          <w:p w14:paraId="200B384A" w14:textId="77777777" w:rsidR="00D67F69" w:rsidRDefault="00D67F69" w:rsidP="0021614C">
            <w:pPr>
              <w:pStyle w:val="EHRBodytext"/>
              <w:ind w:left="0" w:firstLine="0"/>
            </w:pPr>
            <w:r>
              <w:t>Relying on a ground knowing the landlord would not be able to obtain possession or being reckless as to whether they would (s16</w:t>
            </w:r>
            <w:proofErr w:type="gramStart"/>
            <w:r>
              <w:t>J(</w:t>
            </w:r>
            <w:proofErr w:type="gramEnd"/>
            <w:r>
              <w:t>1))</w:t>
            </w:r>
            <w:r>
              <w:tab/>
            </w:r>
          </w:p>
          <w:p w14:paraId="697B2235" w14:textId="77777777" w:rsidR="00D67F69" w:rsidRDefault="00D67F69" w:rsidP="0021614C">
            <w:pPr>
              <w:pStyle w:val="EHRBodytext"/>
              <w:ind w:left="0" w:firstLine="0"/>
            </w:pPr>
          </w:p>
        </w:tc>
        <w:tc>
          <w:tcPr>
            <w:tcW w:w="1697" w:type="dxa"/>
          </w:tcPr>
          <w:p w14:paraId="33DC355A" w14:textId="77777777" w:rsidR="00D67F69" w:rsidRDefault="00D67F69" w:rsidP="0021614C">
            <w:pPr>
              <w:pStyle w:val="EHRBodytext"/>
              <w:ind w:left="0" w:firstLine="0"/>
            </w:pPr>
            <w:r>
              <w:t>£30,000</w:t>
            </w:r>
          </w:p>
        </w:tc>
      </w:tr>
      <w:tr w:rsidR="00D67F69" w14:paraId="5485091B" w14:textId="77777777" w:rsidTr="00D67F69">
        <w:tc>
          <w:tcPr>
            <w:tcW w:w="2410" w:type="dxa"/>
          </w:tcPr>
          <w:p w14:paraId="33A826FE" w14:textId="77777777" w:rsidR="00D67F69" w:rsidRPr="009755BE" w:rsidRDefault="00D67F69" w:rsidP="0021614C">
            <w:pPr>
              <w:pStyle w:val="EHRBodytext"/>
              <w:rPr>
                <w:b/>
                <w:bCs/>
              </w:rPr>
            </w:pPr>
            <w:r w:rsidRPr="009755BE">
              <w:rPr>
                <w:b/>
                <w:bCs/>
              </w:rPr>
              <w:t>Offence</w:t>
            </w:r>
          </w:p>
        </w:tc>
        <w:tc>
          <w:tcPr>
            <w:tcW w:w="5385" w:type="dxa"/>
          </w:tcPr>
          <w:p w14:paraId="54ECB111" w14:textId="77777777" w:rsidR="00D67F69" w:rsidRDefault="00D67F69" w:rsidP="0021614C">
            <w:pPr>
              <w:pStyle w:val="EHRBodytext"/>
              <w:ind w:left="0" w:firstLine="0"/>
            </w:pPr>
            <w:r>
              <w:t>Reletting or remarketing a property within the 12 month no-let period after using the moving or selling grounds (s16</w:t>
            </w:r>
            <w:proofErr w:type="gramStart"/>
            <w:r>
              <w:t>J(</w:t>
            </w:r>
            <w:proofErr w:type="gramEnd"/>
            <w:r>
              <w:t>2))</w:t>
            </w:r>
            <w:r>
              <w:tab/>
            </w:r>
          </w:p>
          <w:p w14:paraId="1751CE5E" w14:textId="77777777" w:rsidR="00D67F69" w:rsidRDefault="00D67F69" w:rsidP="0021614C">
            <w:pPr>
              <w:pStyle w:val="EHRBodytext"/>
              <w:ind w:left="0" w:firstLine="0"/>
            </w:pPr>
          </w:p>
        </w:tc>
        <w:tc>
          <w:tcPr>
            <w:tcW w:w="1697" w:type="dxa"/>
          </w:tcPr>
          <w:p w14:paraId="3866A2EC" w14:textId="77777777" w:rsidR="00D67F69" w:rsidRDefault="00D67F69" w:rsidP="0021614C">
            <w:pPr>
              <w:pStyle w:val="EHRBodytext"/>
              <w:ind w:left="0" w:firstLine="0"/>
            </w:pPr>
            <w:r>
              <w:t>£25,000</w:t>
            </w:r>
          </w:p>
        </w:tc>
      </w:tr>
      <w:tr w:rsidR="00D67F69" w14:paraId="253BA5AB" w14:textId="77777777" w:rsidTr="00D67F69">
        <w:tc>
          <w:tcPr>
            <w:tcW w:w="2410" w:type="dxa"/>
          </w:tcPr>
          <w:p w14:paraId="0EBB34B1" w14:textId="77777777" w:rsidR="00D67F69" w:rsidRPr="009755BE" w:rsidRDefault="00D67F69" w:rsidP="0021614C">
            <w:pPr>
              <w:pStyle w:val="EHRBodytext"/>
              <w:rPr>
                <w:b/>
                <w:bCs/>
              </w:rPr>
            </w:pPr>
            <w:r w:rsidRPr="009755BE">
              <w:rPr>
                <w:b/>
                <w:bCs/>
              </w:rPr>
              <w:t>Offence</w:t>
            </w:r>
          </w:p>
        </w:tc>
        <w:tc>
          <w:tcPr>
            <w:tcW w:w="5385" w:type="dxa"/>
          </w:tcPr>
          <w:p w14:paraId="3EE122A6" w14:textId="77777777" w:rsidR="00D67F69" w:rsidRDefault="00D67F69" w:rsidP="0021614C">
            <w:pPr>
              <w:pStyle w:val="EHRBodytext"/>
              <w:ind w:left="0" w:firstLine="0"/>
            </w:pPr>
            <w:r>
              <w:t>Continuing breach, or repeat breach committed within 5 years of receiving a penalty for first breach (s16</w:t>
            </w:r>
            <w:proofErr w:type="gramStart"/>
            <w:r>
              <w:t>J(</w:t>
            </w:r>
            <w:proofErr w:type="gramEnd"/>
            <w:r>
              <w:t>3) and (4))</w:t>
            </w:r>
            <w:r>
              <w:tab/>
            </w:r>
          </w:p>
          <w:p w14:paraId="5DFB048F" w14:textId="77777777" w:rsidR="00D67F69" w:rsidRDefault="00D67F69" w:rsidP="0021614C">
            <w:pPr>
              <w:pStyle w:val="EHRBodytext"/>
            </w:pPr>
          </w:p>
        </w:tc>
        <w:tc>
          <w:tcPr>
            <w:tcW w:w="1697" w:type="dxa"/>
          </w:tcPr>
          <w:p w14:paraId="01EABC04" w14:textId="77777777" w:rsidR="00D67F69" w:rsidRDefault="00D67F69" w:rsidP="0021614C">
            <w:pPr>
              <w:pStyle w:val="EHRBodytext"/>
              <w:ind w:left="0" w:firstLine="0"/>
            </w:pPr>
            <w:r>
              <w:t>Double the starting level for the two constituent breaches added together</w:t>
            </w:r>
          </w:p>
        </w:tc>
      </w:tr>
      <w:tr w:rsidR="00D67F69" w14:paraId="0BDBBE29" w14:textId="77777777" w:rsidTr="00D67F69">
        <w:tc>
          <w:tcPr>
            <w:tcW w:w="9492" w:type="dxa"/>
            <w:gridSpan w:val="3"/>
            <w:shd w:val="clear" w:color="auto" w:fill="D9D9D9" w:themeFill="background1" w:themeFillShade="D9"/>
          </w:tcPr>
          <w:p w14:paraId="7C4F5E25" w14:textId="77777777" w:rsidR="00D67F69" w:rsidRPr="009755BE" w:rsidRDefault="00D67F69" w:rsidP="0021614C">
            <w:pPr>
              <w:pStyle w:val="EHRBodytext"/>
              <w:ind w:left="0" w:firstLine="0"/>
              <w:rPr>
                <w:b/>
                <w:bCs/>
              </w:rPr>
            </w:pPr>
            <w:r w:rsidRPr="009755BE">
              <w:rPr>
                <w:b/>
                <w:bCs/>
              </w:rPr>
              <w:t xml:space="preserve">Housing Act 2004 </w:t>
            </w:r>
          </w:p>
        </w:tc>
      </w:tr>
      <w:tr w:rsidR="00D67F69" w14:paraId="1951EAE0" w14:textId="77777777" w:rsidTr="00D67F69">
        <w:tc>
          <w:tcPr>
            <w:tcW w:w="2410" w:type="dxa"/>
          </w:tcPr>
          <w:p w14:paraId="081AE32B" w14:textId="77777777" w:rsidR="00D67F69" w:rsidRPr="009755BE" w:rsidRDefault="00D67F69" w:rsidP="0021614C">
            <w:pPr>
              <w:pStyle w:val="EHRBodytext"/>
              <w:rPr>
                <w:b/>
                <w:bCs/>
              </w:rPr>
            </w:pPr>
            <w:r w:rsidRPr="009755BE">
              <w:rPr>
                <w:b/>
                <w:bCs/>
              </w:rPr>
              <w:lastRenderedPageBreak/>
              <w:t xml:space="preserve">Offence </w:t>
            </w:r>
          </w:p>
        </w:tc>
        <w:tc>
          <w:tcPr>
            <w:tcW w:w="5385" w:type="dxa"/>
          </w:tcPr>
          <w:p w14:paraId="0A89ABE9" w14:textId="77777777" w:rsidR="00D67F69" w:rsidRDefault="00D67F69" w:rsidP="0021614C">
            <w:pPr>
              <w:pStyle w:val="EHRBodytext"/>
              <w:ind w:left="28" w:hanging="28"/>
            </w:pPr>
            <w:r>
              <w:t>Offence Failure to comply with an improvement notice (s.30(1))</w:t>
            </w:r>
            <w:r>
              <w:tab/>
            </w:r>
          </w:p>
          <w:p w14:paraId="5E94C177" w14:textId="77777777" w:rsidR="00D67F69" w:rsidRDefault="00D67F69" w:rsidP="0021614C">
            <w:pPr>
              <w:pStyle w:val="EHRBodytext"/>
            </w:pPr>
          </w:p>
        </w:tc>
        <w:tc>
          <w:tcPr>
            <w:tcW w:w="1697" w:type="dxa"/>
          </w:tcPr>
          <w:p w14:paraId="0BCED870" w14:textId="77777777" w:rsidR="00D67F69" w:rsidRDefault="00D67F69" w:rsidP="0021614C">
            <w:pPr>
              <w:pStyle w:val="EHRBodytext"/>
              <w:ind w:left="0" w:firstLine="0"/>
            </w:pPr>
            <w:r>
              <w:t>£25,000</w:t>
            </w:r>
          </w:p>
        </w:tc>
      </w:tr>
      <w:tr w:rsidR="00D67F69" w14:paraId="78D3D960" w14:textId="77777777" w:rsidTr="00D67F69">
        <w:tc>
          <w:tcPr>
            <w:tcW w:w="2410" w:type="dxa"/>
          </w:tcPr>
          <w:p w14:paraId="76AC50F7" w14:textId="77777777" w:rsidR="00D67F69" w:rsidRPr="009755BE" w:rsidRDefault="00D67F69" w:rsidP="0021614C">
            <w:pPr>
              <w:pStyle w:val="EHRBodytext"/>
              <w:rPr>
                <w:b/>
                <w:bCs/>
              </w:rPr>
            </w:pPr>
            <w:r w:rsidRPr="009755BE">
              <w:rPr>
                <w:b/>
                <w:bCs/>
              </w:rPr>
              <w:t xml:space="preserve">Offence </w:t>
            </w:r>
          </w:p>
        </w:tc>
        <w:tc>
          <w:tcPr>
            <w:tcW w:w="5385" w:type="dxa"/>
          </w:tcPr>
          <w:p w14:paraId="4BAAF968" w14:textId="77777777" w:rsidR="00D67F69" w:rsidRDefault="00D67F69" w:rsidP="0021614C">
            <w:pPr>
              <w:pStyle w:val="EHRBodytext"/>
            </w:pPr>
            <w:r>
              <w:t>Mandatory HMO unlicensed (s.72(1))</w:t>
            </w:r>
            <w:r>
              <w:tab/>
            </w:r>
          </w:p>
          <w:p w14:paraId="792EF759" w14:textId="77777777" w:rsidR="00D67F69" w:rsidRDefault="00D67F69" w:rsidP="0021614C">
            <w:pPr>
              <w:pStyle w:val="EHRBodytext"/>
            </w:pPr>
          </w:p>
        </w:tc>
        <w:tc>
          <w:tcPr>
            <w:tcW w:w="1697" w:type="dxa"/>
          </w:tcPr>
          <w:p w14:paraId="19D4191B" w14:textId="77777777" w:rsidR="00D67F69" w:rsidRDefault="00D67F69" w:rsidP="0021614C">
            <w:pPr>
              <w:pStyle w:val="EHRBodytext"/>
              <w:ind w:left="0" w:firstLine="0"/>
            </w:pPr>
            <w:r>
              <w:t>£17,000</w:t>
            </w:r>
          </w:p>
        </w:tc>
      </w:tr>
      <w:tr w:rsidR="00D67F69" w14:paraId="4C03E8AC" w14:textId="77777777" w:rsidTr="00D67F69">
        <w:tc>
          <w:tcPr>
            <w:tcW w:w="2410" w:type="dxa"/>
          </w:tcPr>
          <w:p w14:paraId="72473D65" w14:textId="77777777" w:rsidR="00D67F69" w:rsidRPr="009755BE" w:rsidRDefault="00D67F69" w:rsidP="0021614C">
            <w:pPr>
              <w:pStyle w:val="EHRBodytext"/>
              <w:rPr>
                <w:b/>
                <w:bCs/>
              </w:rPr>
            </w:pPr>
            <w:r w:rsidRPr="009755BE">
              <w:rPr>
                <w:b/>
                <w:bCs/>
              </w:rPr>
              <w:t xml:space="preserve">Offence </w:t>
            </w:r>
          </w:p>
        </w:tc>
        <w:tc>
          <w:tcPr>
            <w:tcW w:w="5385" w:type="dxa"/>
          </w:tcPr>
          <w:p w14:paraId="320B3FE8" w14:textId="77777777" w:rsidR="00D67F69" w:rsidRDefault="00D67F69" w:rsidP="0021614C">
            <w:pPr>
              <w:pStyle w:val="EHRBodytext"/>
            </w:pPr>
            <w:r>
              <w:t>Additional HMO unlicensed (s72 (1))</w:t>
            </w:r>
            <w:r>
              <w:tab/>
            </w:r>
          </w:p>
          <w:p w14:paraId="749F76A1" w14:textId="77777777" w:rsidR="00D67F69" w:rsidRDefault="00D67F69" w:rsidP="0021614C">
            <w:pPr>
              <w:pStyle w:val="EHRBodytext"/>
            </w:pPr>
          </w:p>
        </w:tc>
        <w:tc>
          <w:tcPr>
            <w:tcW w:w="1697" w:type="dxa"/>
          </w:tcPr>
          <w:p w14:paraId="2496E60B" w14:textId="77777777" w:rsidR="00D67F69" w:rsidRDefault="00D67F69" w:rsidP="0021614C">
            <w:pPr>
              <w:pStyle w:val="EHRBodytext"/>
              <w:ind w:left="0" w:firstLine="0"/>
            </w:pPr>
            <w:r>
              <w:t>£17,000</w:t>
            </w:r>
          </w:p>
        </w:tc>
      </w:tr>
      <w:tr w:rsidR="00D67F69" w14:paraId="2E984A87" w14:textId="77777777" w:rsidTr="00D67F69">
        <w:tc>
          <w:tcPr>
            <w:tcW w:w="2410" w:type="dxa"/>
          </w:tcPr>
          <w:p w14:paraId="4D01DC8F" w14:textId="77777777" w:rsidR="00D67F69" w:rsidRPr="009755BE" w:rsidRDefault="00D67F69" w:rsidP="0021614C">
            <w:pPr>
              <w:pStyle w:val="EHRBodytext"/>
              <w:rPr>
                <w:b/>
                <w:bCs/>
              </w:rPr>
            </w:pPr>
            <w:r w:rsidRPr="009755BE">
              <w:rPr>
                <w:b/>
                <w:bCs/>
              </w:rPr>
              <w:t xml:space="preserve">Offence </w:t>
            </w:r>
          </w:p>
        </w:tc>
        <w:tc>
          <w:tcPr>
            <w:tcW w:w="5385" w:type="dxa"/>
          </w:tcPr>
          <w:p w14:paraId="5B773E21" w14:textId="77777777" w:rsidR="00D67F69" w:rsidRDefault="00D67F69" w:rsidP="0021614C">
            <w:pPr>
              <w:pStyle w:val="EHRBodytext"/>
              <w:ind w:left="0" w:firstLine="0"/>
            </w:pPr>
            <w:r>
              <w:t>Knowingly permitting over-occupation of an HMO (s.72(2))</w:t>
            </w:r>
            <w:r>
              <w:tab/>
            </w:r>
          </w:p>
          <w:p w14:paraId="08974C36" w14:textId="77777777" w:rsidR="00D67F69" w:rsidRDefault="00D67F69" w:rsidP="0021614C">
            <w:pPr>
              <w:pStyle w:val="EHRBodytext"/>
            </w:pPr>
          </w:p>
        </w:tc>
        <w:tc>
          <w:tcPr>
            <w:tcW w:w="1697" w:type="dxa"/>
          </w:tcPr>
          <w:p w14:paraId="2F536D63" w14:textId="77777777" w:rsidR="00D67F69" w:rsidRDefault="00D67F69" w:rsidP="0021614C">
            <w:pPr>
              <w:pStyle w:val="EHRBodytext"/>
              <w:ind w:left="0" w:firstLine="0"/>
            </w:pPr>
            <w:r>
              <w:t>£20,000</w:t>
            </w:r>
          </w:p>
        </w:tc>
      </w:tr>
      <w:tr w:rsidR="00D67F69" w14:paraId="2102A691" w14:textId="77777777" w:rsidTr="00D67F69">
        <w:tc>
          <w:tcPr>
            <w:tcW w:w="2410" w:type="dxa"/>
          </w:tcPr>
          <w:p w14:paraId="236FF589" w14:textId="77777777" w:rsidR="00D67F69" w:rsidRPr="009755BE" w:rsidRDefault="00D67F69" w:rsidP="0021614C">
            <w:pPr>
              <w:pStyle w:val="EHRBodytext"/>
              <w:rPr>
                <w:b/>
                <w:bCs/>
              </w:rPr>
            </w:pPr>
            <w:r w:rsidRPr="009755BE">
              <w:rPr>
                <w:b/>
                <w:bCs/>
              </w:rPr>
              <w:t xml:space="preserve">Offence </w:t>
            </w:r>
          </w:p>
        </w:tc>
        <w:tc>
          <w:tcPr>
            <w:tcW w:w="5385" w:type="dxa"/>
          </w:tcPr>
          <w:p w14:paraId="192B501B" w14:textId="77777777" w:rsidR="00D67F69" w:rsidRDefault="00D67F69" w:rsidP="0021614C">
            <w:pPr>
              <w:pStyle w:val="EHRBodytext"/>
              <w:ind w:left="0" w:firstLine="0"/>
            </w:pPr>
            <w:r>
              <w:t>Property subject to selective licensing unlicensed (s.95(1))</w:t>
            </w:r>
            <w:r>
              <w:tab/>
            </w:r>
          </w:p>
          <w:p w14:paraId="2DACCC4A" w14:textId="77777777" w:rsidR="00D67F69" w:rsidRDefault="00D67F69" w:rsidP="0021614C">
            <w:pPr>
              <w:pStyle w:val="EHRBodytext"/>
            </w:pPr>
          </w:p>
        </w:tc>
        <w:tc>
          <w:tcPr>
            <w:tcW w:w="1697" w:type="dxa"/>
          </w:tcPr>
          <w:p w14:paraId="5925FA5D" w14:textId="77777777" w:rsidR="00D67F69" w:rsidRDefault="00D67F69" w:rsidP="0021614C">
            <w:pPr>
              <w:pStyle w:val="EHRBodytext"/>
              <w:ind w:left="0" w:firstLine="0"/>
            </w:pPr>
            <w:r>
              <w:t>£12,000</w:t>
            </w:r>
          </w:p>
        </w:tc>
      </w:tr>
      <w:tr w:rsidR="00D67F69" w14:paraId="76681A5C" w14:textId="77777777" w:rsidTr="00D67F69">
        <w:tc>
          <w:tcPr>
            <w:tcW w:w="2410" w:type="dxa"/>
          </w:tcPr>
          <w:p w14:paraId="7DBCC7E9" w14:textId="77777777" w:rsidR="00D67F69" w:rsidRPr="009755BE" w:rsidRDefault="00D67F69" w:rsidP="0021614C">
            <w:pPr>
              <w:pStyle w:val="EHRBodytext"/>
              <w:rPr>
                <w:b/>
                <w:bCs/>
              </w:rPr>
            </w:pPr>
            <w:r w:rsidRPr="009755BE">
              <w:rPr>
                <w:b/>
                <w:bCs/>
              </w:rPr>
              <w:t xml:space="preserve">Offence </w:t>
            </w:r>
          </w:p>
        </w:tc>
        <w:tc>
          <w:tcPr>
            <w:tcW w:w="5385" w:type="dxa"/>
          </w:tcPr>
          <w:p w14:paraId="4E4E4189" w14:textId="77777777" w:rsidR="00D67F69" w:rsidRDefault="00D67F69" w:rsidP="0021614C">
            <w:pPr>
              <w:pStyle w:val="EHRBodytext"/>
              <w:ind w:left="0" w:firstLine="0"/>
            </w:pPr>
            <w:r>
              <w:t>Failure to comply with an overcrowding notice (s.139(7))</w:t>
            </w:r>
            <w:r>
              <w:tab/>
            </w:r>
          </w:p>
          <w:p w14:paraId="2B350368" w14:textId="77777777" w:rsidR="00D67F69" w:rsidRDefault="00D67F69" w:rsidP="0021614C">
            <w:pPr>
              <w:pStyle w:val="EHRBodytext"/>
            </w:pPr>
          </w:p>
        </w:tc>
        <w:tc>
          <w:tcPr>
            <w:tcW w:w="1697" w:type="dxa"/>
          </w:tcPr>
          <w:p w14:paraId="2BD07012" w14:textId="77777777" w:rsidR="00D67F69" w:rsidRDefault="00D67F69" w:rsidP="0021614C">
            <w:pPr>
              <w:pStyle w:val="EHRBodytext"/>
              <w:ind w:left="0" w:firstLine="0"/>
            </w:pPr>
            <w:r>
              <w:t>£20,000</w:t>
            </w:r>
          </w:p>
        </w:tc>
      </w:tr>
      <w:tr w:rsidR="00D67F69" w14:paraId="22BEC7AD" w14:textId="77777777" w:rsidTr="00D67F69">
        <w:tc>
          <w:tcPr>
            <w:tcW w:w="9492" w:type="dxa"/>
            <w:gridSpan w:val="3"/>
            <w:shd w:val="clear" w:color="auto" w:fill="D9D9D9" w:themeFill="background1" w:themeFillShade="D9"/>
          </w:tcPr>
          <w:p w14:paraId="12C821A1" w14:textId="77777777" w:rsidR="00D67F69" w:rsidRDefault="00D67F69" w:rsidP="0021614C">
            <w:pPr>
              <w:pStyle w:val="EHRBodytext"/>
              <w:ind w:left="0" w:firstLine="0"/>
            </w:pPr>
            <w:r w:rsidRPr="009755BE">
              <w:rPr>
                <w:b/>
                <w:bCs/>
              </w:rPr>
              <w:t>Breach of HMO management regulations (SI 2006/372 and SI 2007/1903 (in respect of s257 HMOs) made under s234(1)</w:t>
            </w:r>
          </w:p>
        </w:tc>
      </w:tr>
      <w:tr w:rsidR="00D67F69" w14:paraId="56D26546" w14:textId="77777777" w:rsidTr="00D67F69">
        <w:tc>
          <w:tcPr>
            <w:tcW w:w="2410" w:type="dxa"/>
          </w:tcPr>
          <w:p w14:paraId="0BFEF571" w14:textId="77777777" w:rsidR="00D67F69" w:rsidRPr="009755BE" w:rsidRDefault="00D67F69" w:rsidP="0021614C">
            <w:pPr>
              <w:pStyle w:val="EHRBodytext"/>
              <w:rPr>
                <w:b/>
                <w:bCs/>
              </w:rPr>
            </w:pPr>
            <w:r>
              <w:rPr>
                <w:b/>
                <w:bCs/>
              </w:rPr>
              <w:t>Breach</w:t>
            </w:r>
          </w:p>
        </w:tc>
        <w:tc>
          <w:tcPr>
            <w:tcW w:w="5385" w:type="dxa"/>
          </w:tcPr>
          <w:p w14:paraId="4F1AAF5D" w14:textId="77777777" w:rsidR="00D67F69" w:rsidRDefault="00D67F69" w:rsidP="0021614C">
            <w:pPr>
              <w:pStyle w:val="EHRBodytext"/>
            </w:pPr>
            <w:r>
              <w:t>Failure to provide information to the occupier</w:t>
            </w:r>
            <w:r>
              <w:tab/>
            </w:r>
          </w:p>
          <w:p w14:paraId="4DC66F48" w14:textId="77777777" w:rsidR="00D67F69" w:rsidRDefault="00D67F69" w:rsidP="0021614C">
            <w:pPr>
              <w:pStyle w:val="EHRBodytext"/>
            </w:pPr>
          </w:p>
        </w:tc>
        <w:tc>
          <w:tcPr>
            <w:tcW w:w="1697" w:type="dxa"/>
          </w:tcPr>
          <w:p w14:paraId="50A7F798" w14:textId="77777777" w:rsidR="00D67F69" w:rsidRDefault="00D67F69" w:rsidP="0021614C">
            <w:pPr>
              <w:pStyle w:val="EHRBodytext"/>
              <w:ind w:left="0" w:firstLine="0"/>
            </w:pPr>
            <w:r>
              <w:t>£3,000</w:t>
            </w:r>
          </w:p>
        </w:tc>
      </w:tr>
      <w:tr w:rsidR="00D67F69" w14:paraId="640A5862" w14:textId="77777777" w:rsidTr="00D67F69">
        <w:tc>
          <w:tcPr>
            <w:tcW w:w="2410" w:type="dxa"/>
          </w:tcPr>
          <w:p w14:paraId="60840D36" w14:textId="77777777" w:rsidR="00D67F69" w:rsidRPr="009755BE" w:rsidRDefault="00D67F69" w:rsidP="0021614C">
            <w:pPr>
              <w:pStyle w:val="EHRBodytext"/>
              <w:rPr>
                <w:b/>
                <w:bCs/>
              </w:rPr>
            </w:pPr>
            <w:r w:rsidRPr="001C2522">
              <w:rPr>
                <w:b/>
                <w:bCs/>
              </w:rPr>
              <w:t>Breach</w:t>
            </w:r>
          </w:p>
        </w:tc>
        <w:tc>
          <w:tcPr>
            <w:tcW w:w="5385" w:type="dxa"/>
          </w:tcPr>
          <w:p w14:paraId="44FBC834" w14:textId="77777777" w:rsidR="00D67F69" w:rsidRDefault="00D67F69" w:rsidP="0021614C">
            <w:pPr>
              <w:pStyle w:val="EHRBodytext"/>
            </w:pPr>
            <w:r>
              <w:t>Failure to take safety measures</w:t>
            </w:r>
            <w:r>
              <w:tab/>
            </w:r>
          </w:p>
          <w:p w14:paraId="0A3C48D6" w14:textId="77777777" w:rsidR="00D67F69" w:rsidRDefault="00D67F69" w:rsidP="0021614C">
            <w:pPr>
              <w:pStyle w:val="EHRBodytext"/>
            </w:pPr>
          </w:p>
        </w:tc>
        <w:tc>
          <w:tcPr>
            <w:tcW w:w="1697" w:type="dxa"/>
          </w:tcPr>
          <w:p w14:paraId="45C2FA55" w14:textId="77777777" w:rsidR="00D67F69" w:rsidRDefault="00D67F69" w:rsidP="0021614C">
            <w:pPr>
              <w:pStyle w:val="EHRBodytext"/>
              <w:ind w:left="0" w:firstLine="0"/>
            </w:pPr>
            <w:r>
              <w:t>£20,000</w:t>
            </w:r>
          </w:p>
        </w:tc>
      </w:tr>
      <w:tr w:rsidR="00D67F69" w14:paraId="4C2777A2" w14:textId="77777777" w:rsidTr="00D67F69">
        <w:tc>
          <w:tcPr>
            <w:tcW w:w="2410" w:type="dxa"/>
          </w:tcPr>
          <w:p w14:paraId="7BED88B5" w14:textId="77777777" w:rsidR="00D67F69" w:rsidRPr="009755BE" w:rsidRDefault="00D67F69" w:rsidP="0021614C">
            <w:pPr>
              <w:pStyle w:val="EHRBodytext"/>
              <w:rPr>
                <w:b/>
                <w:bCs/>
              </w:rPr>
            </w:pPr>
            <w:r w:rsidRPr="001C2522">
              <w:rPr>
                <w:b/>
                <w:bCs/>
              </w:rPr>
              <w:t>Breach</w:t>
            </w:r>
          </w:p>
        </w:tc>
        <w:tc>
          <w:tcPr>
            <w:tcW w:w="5385" w:type="dxa"/>
          </w:tcPr>
          <w:p w14:paraId="62A2712D" w14:textId="77777777" w:rsidR="00D67F69" w:rsidRDefault="00D67F69" w:rsidP="0021614C">
            <w:pPr>
              <w:pStyle w:val="EHRBodytext"/>
            </w:pPr>
            <w:r>
              <w:t>Failure to maintain water supply and drainage</w:t>
            </w:r>
            <w:r>
              <w:tab/>
            </w:r>
          </w:p>
          <w:p w14:paraId="0CDCBB12" w14:textId="77777777" w:rsidR="00D67F69" w:rsidRDefault="00D67F69" w:rsidP="0021614C">
            <w:pPr>
              <w:pStyle w:val="EHRBodytext"/>
            </w:pPr>
          </w:p>
        </w:tc>
        <w:tc>
          <w:tcPr>
            <w:tcW w:w="1697" w:type="dxa"/>
          </w:tcPr>
          <w:p w14:paraId="0B014E5A" w14:textId="77777777" w:rsidR="00D67F69" w:rsidRDefault="00D67F69" w:rsidP="0021614C">
            <w:pPr>
              <w:pStyle w:val="EHRBodytext"/>
              <w:ind w:left="0" w:firstLine="0"/>
            </w:pPr>
            <w:r>
              <w:t>£10,000</w:t>
            </w:r>
          </w:p>
        </w:tc>
      </w:tr>
      <w:tr w:rsidR="00D67F69" w14:paraId="64E4C7E3" w14:textId="77777777" w:rsidTr="00D67F69">
        <w:tc>
          <w:tcPr>
            <w:tcW w:w="2410" w:type="dxa"/>
          </w:tcPr>
          <w:p w14:paraId="212570BF" w14:textId="77777777" w:rsidR="00D67F69" w:rsidRPr="009755BE" w:rsidRDefault="00D67F69" w:rsidP="0021614C">
            <w:pPr>
              <w:pStyle w:val="EHRBodytext"/>
              <w:rPr>
                <w:b/>
                <w:bCs/>
              </w:rPr>
            </w:pPr>
            <w:r w:rsidRPr="001C2522">
              <w:rPr>
                <w:b/>
                <w:bCs/>
              </w:rPr>
              <w:t>Breach</w:t>
            </w:r>
          </w:p>
        </w:tc>
        <w:tc>
          <w:tcPr>
            <w:tcW w:w="5385" w:type="dxa"/>
          </w:tcPr>
          <w:p w14:paraId="346322A2" w14:textId="77777777" w:rsidR="00D67F69" w:rsidRDefault="00D67F69" w:rsidP="0021614C">
            <w:pPr>
              <w:pStyle w:val="EHRBodytext"/>
              <w:ind w:left="0" w:firstLine="0"/>
            </w:pPr>
            <w:r>
              <w:t>Failure to supply and maintain gas and electricity or supply gas safety certificate</w:t>
            </w:r>
            <w:r>
              <w:tab/>
            </w:r>
          </w:p>
          <w:p w14:paraId="5A34731F" w14:textId="77777777" w:rsidR="00D67F69" w:rsidRDefault="00D67F69" w:rsidP="0021614C">
            <w:pPr>
              <w:pStyle w:val="EHRBodytext"/>
            </w:pPr>
          </w:p>
        </w:tc>
        <w:tc>
          <w:tcPr>
            <w:tcW w:w="1697" w:type="dxa"/>
          </w:tcPr>
          <w:p w14:paraId="29315709" w14:textId="77777777" w:rsidR="00D67F69" w:rsidRDefault="00D67F69" w:rsidP="0021614C">
            <w:pPr>
              <w:pStyle w:val="EHRBodytext"/>
              <w:ind w:left="0" w:firstLine="0"/>
            </w:pPr>
            <w:r>
              <w:t>£12,000</w:t>
            </w:r>
          </w:p>
        </w:tc>
      </w:tr>
      <w:tr w:rsidR="00D67F69" w14:paraId="066BA3B2" w14:textId="77777777" w:rsidTr="00D67F69">
        <w:tc>
          <w:tcPr>
            <w:tcW w:w="2410" w:type="dxa"/>
          </w:tcPr>
          <w:p w14:paraId="37D54494" w14:textId="77777777" w:rsidR="00D67F69" w:rsidRPr="009755BE" w:rsidRDefault="00D67F69" w:rsidP="0021614C">
            <w:pPr>
              <w:pStyle w:val="EHRBodytext"/>
              <w:rPr>
                <w:b/>
                <w:bCs/>
              </w:rPr>
            </w:pPr>
            <w:r w:rsidRPr="00F97387">
              <w:rPr>
                <w:b/>
                <w:bCs/>
              </w:rPr>
              <w:t>Breach</w:t>
            </w:r>
          </w:p>
        </w:tc>
        <w:tc>
          <w:tcPr>
            <w:tcW w:w="5385" w:type="dxa"/>
          </w:tcPr>
          <w:p w14:paraId="0BB4B7F0" w14:textId="77777777" w:rsidR="00D67F69" w:rsidRDefault="00D67F69" w:rsidP="0021614C">
            <w:pPr>
              <w:pStyle w:val="EHRBodytext"/>
            </w:pPr>
            <w:r>
              <w:t>Failure to maintain common parts</w:t>
            </w:r>
            <w:r>
              <w:tab/>
            </w:r>
          </w:p>
          <w:p w14:paraId="2F012152" w14:textId="77777777" w:rsidR="00D67F69" w:rsidRDefault="00D67F69" w:rsidP="0021614C">
            <w:pPr>
              <w:pStyle w:val="EHRBodytext"/>
            </w:pPr>
          </w:p>
        </w:tc>
        <w:tc>
          <w:tcPr>
            <w:tcW w:w="1697" w:type="dxa"/>
          </w:tcPr>
          <w:p w14:paraId="596803EE" w14:textId="77777777" w:rsidR="00D67F69" w:rsidRDefault="00D67F69" w:rsidP="0021614C">
            <w:pPr>
              <w:pStyle w:val="EHRBodytext"/>
              <w:ind w:left="0" w:firstLine="0"/>
            </w:pPr>
            <w:r>
              <w:t>£7,000</w:t>
            </w:r>
          </w:p>
        </w:tc>
      </w:tr>
      <w:tr w:rsidR="00D67F69" w14:paraId="1D1A8CD0" w14:textId="77777777" w:rsidTr="00D67F69">
        <w:tc>
          <w:tcPr>
            <w:tcW w:w="2410" w:type="dxa"/>
          </w:tcPr>
          <w:p w14:paraId="6A739C28" w14:textId="77777777" w:rsidR="00D67F69" w:rsidRPr="009755BE" w:rsidRDefault="00D67F69" w:rsidP="0021614C">
            <w:pPr>
              <w:pStyle w:val="EHRBodytext"/>
              <w:rPr>
                <w:b/>
                <w:bCs/>
              </w:rPr>
            </w:pPr>
            <w:r w:rsidRPr="00F97387">
              <w:rPr>
                <w:b/>
                <w:bCs/>
              </w:rPr>
              <w:t>Breach</w:t>
            </w:r>
          </w:p>
        </w:tc>
        <w:tc>
          <w:tcPr>
            <w:tcW w:w="5385" w:type="dxa"/>
          </w:tcPr>
          <w:p w14:paraId="703AA915" w14:textId="77777777" w:rsidR="00D67F69" w:rsidRDefault="00D67F69" w:rsidP="0021614C">
            <w:pPr>
              <w:pStyle w:val="EHRBodytext"/>
            </w:pPr>
            <w:r>
              <w:t>Failure to maintain living accommodation</w:t>
            </w:r>
            <w:r>
              <w:tab/>
            </w:r>
          </w:p>
          <w:p w14:paraId="157582D1" w14:textId="77777777" w:rsidR="00D67F69" w:rsidRDefault="00D67F69" w:rsidP="0021614C">
            <w:pPr>
              <w:pStyle w:val="EHRBodytext"/>
            </w:pPr>
          </w:p>
        </w:tc>
        <w:tc>
          <w:tcPr>
            <w:tcW w:w="1697" w:type="dxa"/>
          </w:tcPr>
          <w:p w14:paraId="58284CE3" w14:textId="77777777" w:rsidR="00D67F69" w:rsidRDefault="00D67F69" w:rsidP="0021614C">
            <w:pPr>
              <w:pStyle w:val="EHRBodytext"/>
              <w:ind w:left="0" w:firstLine="0"/>
            </w:pPr>
            <w:r>
              <w:t>£7,000</w:t>
            </w:r>
          </w:p>
        </w:tc>
      </w:tr>
      <w:tr w:rsidR="00D67F69" w14:paraId="0A5F051C" w14:textId="77777777" w:rsidTr="00D67F69">
        <w:tc>
          <w:tcPr>
            <w:tcW w:w="2410" w:type="dxa"/>
          </w:tcPr>
          <w:p w14:paraId="1E98D411" w14:textId="77777777" w:rsidR="00D67F69" w:rsidRPr="009755BE" w:rsidRDefault="00D67F69" w:rsidP="0021614C">
            <w:pPr>
              <w:pStyle w:val="EHRBodytext"/>
              <w:rPr>
                <w:b/>
                <w:bCs/>
              </w:rPr>
            </w:pPr>
            <w:r w:rsidRPr="00F97387">
              <w:rPr>
                <w:b/>
                <w:bCs/>
              </w:rPr>
              <w:t>Breach</w:t>
            </w:r>
          </w:p>
        </w:tc>
        <w:tc>
          <w:tcPr>
            <w:tcW w:w="5385" w:type="dxa"/>
          </w:tcPr>
          <w:p w14:paraId="680C551C" w14:textId="77777777" w:rsidR="00D67F69" w:rsidRDefault="00D67F69" w:rsidP="0021614C">
            <w:pPr>
              <w:pStyle w:val="EHRBodytext"/>
              <w:ind w:left="28" w:hanging="28"/>
            </w:pPr>
            <w:r>
              <w:t>Failure to provide adequate waste disposal facilities</w:t>
            </w:r>
            <w:r>
              <w:tab/>
            </w:r>
          </w:p>
          <w:p w14:paraId="3C29F135" w14:textId="77777777" w:rsidR="00D67F69" w:rsidRDefault="00D67F69" w:rsidP="0021614C">
            <w:pPr>
              <w:pStyle w:val="EHRBodytext"/>
            </w:pPr>
          </w:p>
        </w:tc>
        <w:tc>
          <w:tcPr>
            <w:tcW w:w="1697" w:type="dxa"/>
          </w:tcPr>
          <w:p w14:paraId="30175685" w14:textId="77777777" w:rsidR="00D67F69" w:rsidRDefault="00D67F69" w:rsidP="0021614C">
            <w:pPr>
              <w:pStyle w:val="EHRBodytext"/>
              <w:ind w:left="0" w:firstLine="0"/>
            </w:pPr>
            <w:r>
              <w:t>£7,000</w:t>
            </w:r>
          </w:p>
        </w:tc>
      </w:tr>
      <w:tr w:rsidR="00D67F69" w14:paraId="79FA1FCF" w14:textId="77777777" w:rsidTr="00D67F69">
        <w:tc>
          <w:tcPr>
            <w:tcW w:w="9492" w:type="dxa"/>
            <w:gridSpan w:val="3"/>
            <w:shd w:val="clear" w:color="auto" w:fill="D9D9D9" w:themeFill="background1" w:themeFillShade="D9"/>
          </w:tcPr>
          <w:p w14:paraId="7A53C003" w14:textId="77777777" w:rsidR="00D67F69" w:rsidRPr="009755BE" w:rsidRDefault="00D67F69" w:rsidP="0021614C">
            <w:pPr>
              <w:pStyle w:val="EHRBodytext"/>
              <w:ind w:left="0" w:firstLine="0"/>
              <w:rPr>
                <w:b/>
                <w:bCs/>
              </w:rPr>
            </w:pPr>
            <w:r w:rsidRPr="009755BE">
              <w:rPr>
                <w:b/>
                <w:bCs/>
              </w:rPr>
              <w:t>Housing and Planning Act 2016</w:t>
            </w:r>
          </w:p>
        </w:tc>
      </w:tr>
      <w:tr w:rsidR="00D67F69" w14:paraId="71B3B955" w14:textId="77777777" w:rsidTr="00D67F69">
        <w:tc>
          <w:tcPr>
            <w:tcW w:w="2410" w:type="dxa"/>
          </w:tcPr>
          <w:p w14:paraId="0BA3379F" w14:textId="77777777" w:rsidR="00D67F69" w:rsidRPr="009755BE" w:rsidRDefault="00D67F69" w:rsidP="0021614C">
            <w:pPr>
              <w:pStyle w:val="EHRBodytext"/>
              <w:rPr>
                <w:b/>
                <w:bCs/>
              </w:rPr>
            </w:pPr>
            <w:r w:rsidRPr="009755BE">
              <w:rPr>
                <w:b/>
                <w:bCs/>
              </w:rPr>
              <w:t>Offence</w:t>
            </w:r>
          </w:p>
        </w:tc>
        <w:tc>
          <w:tcPr>
            <w:tcW w:w="5385" w:type="dxa"/>
          </w:tcPr>
          <w:p w14:paraId="0F998623" w14:textId="77777777" w:rsidR="00D67F69" w:rsidRDefault="00D67F69" w:rsidP="0021614C">
            <w:pPr>
              <w:pStyle w:val="EHRBodytext"/>
            </w:pPr>
            <w:r>
              <w:t>Breach of a banning order (s.21(1))</w:t>
            </w:r>
            <w:r>
              <w:tab/>
            </w:r>
          </w:p>
          <w:p w14:paraId="0FBBA91C" w14:textId="77777777" w:rsidR="00D67F69" w:rsidRDefault="00D67F69" w:rsidP="0021614C">
            <w:pPr>
              <w:pStyle w:val="EHRBodytext"/>
            </w:pPr>
          </w:p>
        </w:tc>
        <w:tc>
          <w:tcPr>
            <w:tcW w:w="1697" w:type="dxa"/>
          </w:tcPr>
          <w:p w14:paraId="2D535A16" w14:textId="77777777" w:rsidR="00D67F69" w:rsidRDefault="00D67F69" w:rsidP="0021614C">
            <w:pPr>
              <w:pStyle w:val="EHRBodytext"/>
              <w:ind w:left="0" w:firstLine="0"/>
            </w:pPr>
            <w:r>
              <w:t>£35,000</w:t>
            </w:r>
          </w:p>
        </w:tc>
      </w:tr>
      <w:tr w:rsidR="00D67F69" w14:paraId="4159EAB0" w14:textId="77777777" w:rsidTr="00D67F69">
        <w:tc>
          <w:tcPr>
            <w:tcW w:w="9492" w:type="dxa"/>
            <w:gridSpan w:val="3"/>
            <w:shd w:val="clear" w:color="auto" w:fill="D9D9D9" w:themeFill="background1" w:themeFillShade="D9"/>
          </w:tcPr>
          <w:p w14:paraId="16D9ECB0" w14:textId="77777777" w:rsidR="00D67F69" w:rsidRPr="009755BE" w:rsidRDefault="00D67F69" w:rsidP="0021614C">
            <w:pPr>
              <w:pStyle w:val="EHRBodytext"/>
              <w:ind w:left="0" w:firstLine="0"/>
              <w:rPr>
                <w:b/>
                <w:bCs/>
              </w:rPr>
            </w:pPr>
            <w:r w:rsidRPr="009755BE">
              <w:rPr>
                <w:b/>
                <w:bCs/>
              </w:rPr>
              <w:t>Renters’ Rights Act 2025</w:t>
            </w:r>
          </w:p>
        </w:tc>
      </w:tr>
      <w:tr w:rsidR="00D67F69" w14:paraId="2745F415" w14:textId="77777777" w:rsidTr="00D67F69">
        <w:tc>
          <w:tcPr>
            <w:tcW w:w="2410" w:type="dxa"/>
          </w:tcPr>
          <w:p w14:paraId="318D381B" w14:textId="77777777" w:rsidR="00D67F69" w:rsidRPr="009755BE" w:rsidRDefault="00D67F69" w:rsidP="0021614C">
            <w:pPr>
              <w:pStyle w:val="EHRBodytext"/>
              <w:rPr>
                <w:b/>
                <w:bCs/>
              </w:rPr>
            </w:pPr>
            <w:r w:rsidRPr="009755BE">
              <w:rPr>
                <w:b/>
                <w:bCs/>
              </w:rPr>
              <w:t>Breach</w:t>
            </w:r>
          </w:p>
        </w:tc>
        <w:tc>
          <w:tcPr>
            <w:tcW w:w="5385" w:type="dxa"/>
          </w:tcPr>
          <w:p w14:paraId="11AE394E" w14:textId="77777777" w:rsidR="00D67F69" w:rsidRDefault="00D67F69" w:rsidP="0021614C">
            <w:pPr>
              <w:pStyle w:val="EHRBodytext"/>
              <w:ind w:left="28" w:hanging="28"/>
            </w:pPr>
            <w:r>
              <w:t>Discrimination against those on benefits or with children in the lettings process (s.33 and s.34)</w:t>
            </w:r>
            <w:r>
              <w:tab/>
            </w:r>
          </w:p>
          <w:p w14:paraId="63D9227A" w14:textId="77777777" w:rsidR="00D67F69" w:rsidRDefault="00D67F69" w:rsidP="0021614C">
            <w:pPr>
              <w:pStyle w:val="EHRBodytext"/>
            </w:pPr>
          </w:p>
        </w:tc>
        <w:tc>
          <w:tcPr>
            <w:tcW w:w="1697" w:type="dxa"/>
          </w:tcPr>
          <w:p w14:paraId="1C0C848E" w14:textId="77777777" w:rsidR="00D67F69" w:rsidRDefault="00D67F69" w:rsidP="0021614C">
            <w:pPr>
              <w:pStyle w:val="EHRBodytext"/>
              <w:ind w:left="0" w:firstLine="0"/>
            </w:pPr>
            <w:r>
              <w:t>£6,000</w:t>
            </w:r>
          </w:p>
        </w:tc>
      </w:tr>
      <w:tr w:rsidR="00D67F69" w14:paraId="79B4487B" w14:textId="77777777" w:rsidTr="00D67F69">
        <w:tc>
          <w:tcPr>
            <w:tcW w:w="2410" w:type="dxa"/>
          </w:tcPr>
          <w:p w14:paraId="41B1A1D2" w14:textId="77777777" w:rsidR="00D67F69" w:rsidRPr="009755BE" w:rsidRDefault="00D67F69" w:rsidP="0021614C">
            <w:pPr>
              <w:pStyle w:val="EHRBodytext"/>
              <w:rPr>
                <w:b/>
                <w:bCs/>
              </w:rPr>
            </w:pPr>
            <w:r w:rsidRPr="009755BE">
              <w:rPr>
                <w:b/>
                <w:bCs/>
              </w:rPr>
              <w:t>Breach</w:t>
            </w:r>
          </w:p>
        </w:tc>
        <w:tc>
          <w:tcPr>
            <w:tcW w:w="5385" w:type="dxa"/>
          </w:tcPr>
          <w:p w14:paraId="5699C71C" w14:textId="77777777" w:rsidR="00D67F69" w:rsidRDefault="00D67F69" w:rsidP="0021614C">
            <w:pPr>
              <w:pStyle w:val="EHRBodytext"/>
              <w:ind w:left="28" w:hanging="28"/>
            </w:pPr>
            <w:r>
              <w:t>Failure to specify proposed rent within a written advertisement or offer (s.56(2))</w:t>
            </w:r>
            <w:r>
              <w:tab/>
            </w:r>
          </w:p>
        </w:tc>
        <w:tc>
          <w:tcPr>
            <w:tcW w:w="1697" w:type="dxa"/>
          </w:tcPr>
          <w:p w14:paraId="6478647F" w14:textId="77777777" w:rsidR="00D67F69" w:rsidRDefault="00D67F69" w:rsidP="0021614C">
            <w:pPr>
              <w:pStyle w:val="EHRBodytext"/>
              <w:ind w:left="0" w:firstLine="0"/>
            </w:pPr>
            <w:r>
              <w:t>£3,000</w:t>
            </w:r>
          </w:p>
        </w:tc>
      </w:tr>
      <w:tr w:rsidR="00D67F69" w14:paraId="68B8638B" w14:textId="77777777" w:rsidTr="00D67F69">
        <w:tc>
          <w:tcPr>
            <w:tcW w:w="2410" w:type="dxa"/>
          </w:tcPr>
          <w:p w14:paraId="144D898D" w14:textId="77777777" w:rsidR="00D67F69" w:rsidRPr="009755BE" w:rsidRDefault="00D67F69" w:rsidP="0021614C">
            <w:pPr>
              <w:pStyle w:val="EHRBodytext"/>
              <w:rPr>
                <w:b/>
                <w:bCs/>
              </w:rPr>
            </w:pPr>
            <w:r w:rsidRPr="009755BE">
              <w:rPr>
                <w:b/>
                <w:bCs/>
              </w:rPr>
              <w:t>Breach</w:t>
            </w:r>
          </w:p>
        </w:tc>
        <w:tc>
          <w:tcPr>
            <w:tcW w:w="5385" w:type="dxa"/>
          </w:tcPr>
          <w:p w14:paraId="7DA2AB3A" w14:textId="77777777" w:rsidR="00D67F69" w:rsidRDefault="00D67F69" w:rsidP="0021614C">
            <w:pPr>
              <w:pStyle w:val="EHRBodytext"/>
              <w:ind w:left="28" w:firstLine="0"/>
            </w:pPr>
            <w:r>
              <w:t>Inviting, encouraging or accepting any offer of rent greater than the advertised rate (s.56(3))</w:t>
            </w:r>
          </w:p>
          <w:p w14:paraId="648FDB6F" w14:textId="77777777" w:rsidR="00D67F69" w:rsidRDefault="00D67F69" w:rsidP="0021614C">
            <w:pPr>
              <w:pStyle w:val="EHRBodytext"/>
            </w:pPr>
          </w:p>
        </w:tc>
        <w:tc>
          <w:tcPr>
            <w:tcW w:w="1697" w:type="dxa"/>
          </w:tcPr>
          <w:p w14:paraId="7DE22BD4" w14:textId="77777777" w:rsidR="00D67F69" w:rsidRDefault="00D67F69" w:rsidP="0021614C">
            <w:pPr>
              <w:pStyle w:val="EHRBodytext"/>
              <w:ind w:left="0" w:firstLine="0"/>
            </w:pPr>
            <w:r>
              <w:t>£4,000</w:t>
            </w:r>
          </w:p>
        </w:tc>
      </w:tr>
    </w:tbl>
    <w:p w14:paraId="04CFAB55" w14:textId="77777777" w:rsidR="00D67F69" w:rsidRDefault="00D67F69" w:rsidP="00D67F69">
      <w:pPr>
        <w:pStyle w:val="EHRBodytext"/>
      </w:pPr>
      <w:r>
        <w:tab/>
        <w:t xml:space="preserve"> </w:t>
      </w:r>
      <w:r>
        <w:tab/>
        <w:t xml:space="preserve"> </w:t>
      </w:r>
    </w:p>
    <w:p w14:paraId="2DEC9B92" w14:textId="77777777" w:rsidR="00D67F69" w:rsidRDefault="00D67F69" w:rsidP="00D67F69">
      <w:pPr>
        <w:pStyle w:val="EHRBodytext"/>
      </w:pPr>
      <w:r>
        <w:tab/>
        <w:t xml:space="preserve"> </w:t>
      </w:r>
    </w:p>
    <w:p w14:paraId="6918F2A6" w14:textId="77777777" w:rsidR="00D67F69" w:rsidRDefault="00D67F69" w:rsidP="00D67F69">
      <w:pPr>
        <w:pStyle w:val="EHRBodytext"/>
      </w:pPr>
    </w:p>
    <w:p w14:paraId="7D21B67F" w14:textId="0C8B1D83" w:rsidR="00D67F69" w:rsidRDefault="00D03462" w:rsidP="00D03462">
      <w:pPr>
        <w:pStyle w:val="EHRBodytext"/>
        <w:numPr>
          <w:ilvl w:val="2"/>
          <w:numId w:val="2"/>
        </w:numPr>
      </w:pPr>
      <w:r>
        <w:lastRenderedPageBreak/>
        <w:t xml:space="preserve">Using the factors detailed in sections 5.2 and 5.3 the </w:t>
      </w:r>
      <w:r w:rsidR="00364FAA">
        <w:t>Council</w:t>
      </w:r>
      <w:r>
        <w:t xml:space="preserve"> must consider any mitigating factors that may result in the penalty being adjusted upwards or downwards from the starting point. </w:t>
      </w:r>
    </w:p>
    <w:p w14:paraId="21147EAA" w14:textId="3A742376" w:rsidR="00D03462" w:rsidRDefault="00D03462" w:rsidP="00D03462">
      <w:pPr>
        <w:pStyle w:val="EHRBodytext"/>
        <w:numPr>
          <w:ilvl w:val="2"/>
          <w:numId w:val="2"/>
        </w:numPr>
      </w:pPr>
      <w:r>
        <w:t>The table below provides a guide for adjustment where specific factors have been identified.</w:t>
      </w:r>
    </w:p>
    <w:tbl>
      <w:tblPr>
        <w:tblStyle w:val="TableGrid"/>
        <w:tblpPr w:leftFromText="180" w:rightFromText="180" w:vertAnchor="text" w:horzAnchor="margin" w:tblpXSpec="center" w:tblpY="181"/>
        <w:tblW w:w="9847" w:type="dxa"/>
        <w:tblLayout w:type="fixed"/>
        <w:tblLook w:val="04A0" w:firstRow="1" w:lastRow="0" w:firstColumn="1" w:lastColumn="0" w:noHBand="0" w:noVBand="1"/>
      </w:tblPr>
      <w:tblGrid>
        <w:gridCol w:w="2230"/>
        <w:gridCol w:w="2539"/>
        <w:gridCol w:w="2539"/>
        <w:gridCol w:w="2539"/>
      </w:tblGrid>
      <w:tr w:rsidR="00D67F69" w:rsidRPr="00D03462" w14:paraId="2D5C6F8A" w14:textId="77777777" w:rsidTr="0021614C">
        <w:trPr>
          <w:trHeight w:val="492"/>
          <w:tblHeader/>
        </w:trPr>
        <w:tc>
          <w:tcPr>
            <w:tcW w:w="2230" w:type="dxa"/>
            <w:tcBorders>
              <w:top w:val="single" w:sz="8" w:space="0" w:color="auto"/>
            </w:tcBorders>
            <w:shd w:val="clear" w:color="auto" w:fill="FFCDCD"/>
            <w:vAlign w:val="center"/>
          </w:tcPr>
          <w:p w14:paraId="1163316E" w14:textId="77777777" w:rsidR="00D67F69" w:rsidRPr="00D03462" w:rsidRDefault="00D67F69" w:rsidP="0021614C">
            <w:pPr>
              <w:spacing w:line="276" w:lineRule="auto"/>
              <w:jc w:val="center"/>
              <w:rPr>
                <w:rFonts w:ascii="Arial" w:hAnsi="Arial" w:cs="Arial"/>
              </w:rPr>
            </w:pPr>
            <w:r w:rsidRPr="00D03462">
              <w:rPr>
                <w:rFonts w:ascii="Arial" w:hAnsi="Arial" w:cs="Arial"/>
                <w:b/>
              </w:rPr>
              <w:t>Category of offence</w:t>
            </w:r>
          </w:p>
        </w:tc>
        <w:tc>
          <w:tcPr>
            <w:tcW w:w="2539" w:type="dxa"/>
            <w:tcBorders>
              <w:top w:val="single" w:sz="8" w:space="0" w:color="auto"/>
            </w:tcBorders>
            <w:shd w:val="clear" w:color="auto" w:fill="FFCDCD"/>
            <w:vAlign w:val="center"/>
          </w:tcPr>
          <w:p w14:paraId="256C1637" w14:textId="77777777" w:rsidR="00D67F69" w:rsidRPr="00D03462" w:rsidRDefault="00D67F69" w:rsidP="0021614C">
            <w:pPr>
              <w:spacing w:line="276" w:lineRule="auto"/>
              <w:jc w:val="center"/>
              <w:rPr>
                <w:rFonts w:ascii="Arial" w:hAnsi="Arial" w:cs="Arial"/>
              </w:rPr>
            </w:pPr>
            <w:r w:rsidRPr="00D03462">
              <w:rPr>
                <w:rFonts w:ascii="Arial" w:hAnsi="Arial" w:cs="Arial"/>
                <w:b/>
              </w:rPr>
              <w:t>level 1 – Major impact</w:t>
            </w:r>
          </w:p>
        </w:tc>
        <w:tc>
          <w:tcPr>
            <w:tcW w:w="2539" w:type="dxa"/>
            <w:tcBorders>
              <w:top w:val="single" w:sz="8" w:space="0" w:color="auto"/>
            </w:tcBorders>
            <w:shd w:val="clear" w:color="auto" w:fill="FFCDCD"/>
            <w:vAlign w:val="center"/>
          </w:tcPr>
          <w:p w14:paraId="3E9CF9DF" w14:textId="77777777" w:rsidR="00D67F69" w:rsidRPr="00D03462" w:rsidRDefault="00D67F69" w:rsidP="0021614C">
            <w:pPr>
              <w:spacing w:line="276" w:lineRule="auto"/>
              <w:jc w:val="center"/>
              <w:rPr>
                <w:rFonts w:ascii="Arial" w:hAnsi="Arial" w:cs="Arial"/>
              </w:rPr>
            </w:pPr>
            <w:r w:rsidRPr="00D03462">
              <w:rPr>
                <w:rFonts w:ascii="Arial" w:hAnsi="Arial" w:cs="Arial"/>
                <w:b/>
              </w:rPr>
              <w:t>Level 2 – Serious impact</w:t>
            </w:r>
          </w:p>
        </w:tc>
        <w:tc>
          <w:tcPr>
            <w:tcW w:w="2539" w:type="dxa"/>
            <w:tcBorders>
              <w:top w:val="single" w:sz="8" w:space="0" w:color="auto"/>
            </w:tcBorders>
            <w:shd w:val="clear" w:color="auto" w:fill="FFCDCD"/>
            <w:vAlign w:val="center"/>
          </w:tcPr>
          <w:p w14:paraId="272ABB34" w14:textId="77777777" w:rsidR="00D67F69" w:rsidRPr="00D03462" w:rsidRDefault="00D67F69" w:rsidP="0021614C">
            <w:pPr>
              <w:spacing w:line="276" w:lineRule="auto"/>
              <w:jc w:val="center"/>
              <w:rPr>
                <w:rFonts w:ascii="Arial" w:hAnsi="Arial" w:cs="Arial"/>
              </w:rPr>
            </w:pPr>
            <w:r w:rsidRPr="00D03462">
              <w:rPr>
                <w:rFonts w:ascii="Arial" w:hAnsi="Arial" w:cs="Arial"/>
                <w:b/>
              </w:rPr>
              <w:t>Level 3 – Minor impact</w:t>
            </w:r>
          </w:p>
        </w:tc>
      </w:tr>
      <w:tr w:rsidR="00D67F69" w:rsidRPr="00D03462" w14:paraId="23B7D151" w14:textId="77777777" w:rsidTr="0021614C">
        <w:trPr>
          <w:trHeight w:val="492"/>
        </w:trPr>
        <w:tc>
          <w:tcPr>
            <w:tcW w:w="2230" w:type="dxa"/>
            <w:tcBorders>
              <w:top w:val="single" w:sz="8" w:space="0" w:color="auto"/>
            </w:tcBorders>
            <w:shd w:val="clear" w:color="auto" w:fill="FFCDCD"/>
            <w:vAlign w:val="center"/>
          </w:tcPr>
          <w:p w14:paraId="4E2FDD12" w14:textId="77777777" w:rsidR="00D67F69" w:rsidRPr="00D03462" w:rsidRDefault="00D67F69" w:rsidP="0021614C">
            <w:pPr>
              <w:spacing w:line="276" w:lineRule="auto"/>
              <w:jc w:val="center"/>
              <w:rPr>
                <w:rFonts w:ascii="Arial" w:hAnsi="Arial" w:cs="Arial"/>
              </w:rPr>
            </w:pPr>
            <w:r w:rsidRPr="00D03462">
              <w:rPr>
                <w:rFonts w:ascii="Arial" w:hAnsi="Arial" w:cs="Arial"/>
              </w:rPr>
              <w:t>Deliberate</w:t>
            </w:r>
          </w:p>
        </w:tc>
        <w:tc>
          <w:tcPr>
            <w:tcW w:w="2539" w:type="dxa"/>
            <w:tcBorders>
              <w:top w:val="single" w:sz="8" w:space="0" w:color="auto"/>
            </w:tcBorders>
            <w:shd w:val="clear" w:color="auto" w:fill="FFCDCD"/>
            <w:vAlign w:val="center"/>
          </w:tcPr>
          <w:p w14:paraId="1D40D083" w14:textId="5E0854F8" w:rsidR="00D67F69" w:rsidRPr="00D03462" w:rsidRDefault="00D03462" w:rsidP="0021614C">
            <w:pPr>
              <w:spacing w:line="276" w:lineRule="auto"/>
              <w:jc w:val="center"/>
              <w:rPr>
                <w:rFonts w:ascii="Arial" w:hAnsi="Arial" w:cs="Arial"/>
              </w:rPr>
            </w:pPr>
            <w:r>
              <w:rPr>
                <w:rFonts w:ascii="Arial" w:hAnsi="Arial" w:cs="Arial"/>
              </w:rPr>
              <w:t xml:space="preserve">+/- </w:t>
            </w:r>
            <w:r w:rsidR="00D67F69" w:rsidRPr="00D03462">
              <w:rPr>
                <w:rFonts w:ascii="Arial" w:hAnsi="Arial" w:cs="Arial"/>
              </w:rPr>
              <w:t>20% Adjustment</w:t>
            </w:r>
          </w:p>
        </w:tc>
        <w:tc>
          <w:tcPr>
            <w:tcW w:w="2539" w:type="dxa"/>
            <w:tcBorders>
              <w:top w:val="single" w:sz="8" w:space="0" w:color="auto"/>
            </w:tcBorders>
            <w:shd w:val="clear" w:color="auto" w:fill="FFCDCD"/>
            <w:vAlign w:val="center"/>
          </w:tcPr>
          <w:p w14:paraId="5A8BE451" w14:textId="254BA86E" w:rsidR="00D67F69" w:rsidRPr="00D03462" w:rsidRDefault="00D03462" w:rsidP="0021614C">
            <w:pPr>
              <w:spacing w:line="276" w:lineRule="auto"/>
              <w:jc w:val="center"/>
              <w:rPr>
                <w:rFonts w:ascii="Arial" w:hAnsi="Arial" w:cs="Arial"/>
              </w:rPr>
            </w:pPr>
            <w:r>
              <w:rPr>
                <w:rFonts w:ascii="Arial" w:hAnsi="Arial" w:cs="Arial"/>
              </w:rPr>
              <w:t xml:space="preserve">+/- </w:t>
            </w:r>
            <w:r w:rsidR="00D67F69" w:rsidRPr="00D03462">
              <w:rPr>
                <w:rFonts w:ascii="Arial" w:hAnsi="Arial" w:cs="Arial"/>
              </w:rPr>
              <w:t>15% Adjustment</w:t>
            </w:r>
          </w:p>
        </w:tc>
        <w:tc>
          <w:tcPr>
            <w:tcW w:w="2539" w:type="dxa"/>
            <w:tcBorders>
              <w:top w:val="single" w:sz="8" w:space="0" w:color="auto"/>
            </w:tcBorders>
            <w:shd w:val="clear" w:color="auto" w:fill="FFCDCD"/>
            <w:vAlign w:val="center"/>
          </w:tcPr>
          <w:p w14:paraId="43C2D024" w14:textId="04D3314A" w:rsidR="00D67F69" w:rsidRPr="00D03462" w:rsidRDefault="00D03462" w:rsidP="0021614C">
            <w:pPr>
              <w:spacing w:line="276" w:lineRule="auto"/>
              <w:jc w:val="center"/>
              <w:rPr>
                <w:rFonts w:ascii="Arial" w:hAnsi="Arial" w:cs="Arial"/>
              </w:rPr>
            </w:pPr>
            <w:r>
              <w:rPr>
                <w:rFonts w:ascii="Arial" w:hAnsi="Arial" w:cs="Arial"/>
              </w:rPr>
              <w:t xml:space="preserve">+/- </w:t>
            </w:r>
            <w:r w:rsidR="00D67F69" w:rsidRPr="00D03462">
              <w:rPr>
                <w:rFonts w:ascii="Arial" w:hAnsi="Arial" w:cs="Arial"/>
              </w:rPr>
              <w:t>10% Adjustment</w:t>
            </w:r>
          </w:p>
        </w:tc>
      </w:tr>
      <w:tr w:rsidR="00D67F69" w:rsidRPr="00D03462" w14:paraId="45FD7592" w14:textId="77777777" w:rsidTr="0021614C">
        <w:trPr>
          <w:trHeight w:val="553"/>
        </w:trPr>
        <w:tc>
          <w:tcPr>
            <w:tcW w:w="2230" w:type="dxa"/>
            <w:shd w:val="clear" w:color="auto" w:fill="FFCDCD"/>
            <w:vAlign w:val="center"/>
          </w:tcPr>
          <w:p w14:paraId="5DE5DAE7" w14:textId="77777777" w:rsidR="00D67F69" w:rsidRPr="00D03462" w:rsidRDefault="00D67F69" w:rsidP="0021614C">
            <w:pPr>
              <w:spacing w:line="276" w:lineRule="auto"/>
              <w:jc w:val="center"/>
              <w:rPr>
                <w:rFonts w:ascii="Arial" w:hAnsi="Arial" w:cs="Arial"/>
              </w:rPr>
            </w:pPr>
            <w:r w:rsidRPr="00D03462">
              <w:rPr>
                <w:rFonts w:ascii="Arial" w:hAnsi="Arial" w:cs="Arial"/>
              </w:rPr>
              <w:t>Reckless</w:t>
            </w:r>
          </w:p>
        </w:tc>
        <w:tc>
          <w:tcPr>
            <w:tcW w:w="2539" w:type="dxa"/>
            <w:shd w:val="clear" w:color="auto" w:fill="FFCDCD"/>
            <w:vAlign w:val="center"/>
          </w:tcPr>
          <w:p w14:paraId="560BBEE3" w14:textId="3FD0498D" w:rsidR="00D67F69" w:rsidRPr="00D03462" w:rsidRDefault="00D03462" w:rsidP="0021614C">
            <w:pPr>
              <w:spacing w:line="276" w:lineRule="auto"/>
              <w:jc w:val="center"/>
              <w:rPr>
                <w:rFonts w:ascii="Arial" w:hAnsi="Arial" w:cs="Arial"/>
              </w:rPr>
            </w:pPr>
            <w:r>
              <w:rPr>
                <w:rFonts w:ascii="Arial" w:hAnsi="Arial" w:cs="Arial"/>
              </w:rPr>
              <w:t xml:space="preserve">+/- </w:t>
            </w:r>
            <w:r w:rsidR="00D67F69" w:rsidRPr="00D03462">
              <w:rPr>
                <w:rFonts w:ascii="Arial" w:hAnsi="Arial" w:cs="Arial"/>
              </w:rPr>
              <w:t>15% Adjustment</w:t>
            </w:r>
          </w:p>
        </w:tc>
        <w:tc>
          <w:tcPr>
            <w:tcW w:w="2539" w:type="dxa"/>
            <w:shd w:val="clear" w:color="auto" w:fill="FFCDCD"/>
            <w:vAlign w:val="center"/>
          </w:tcPr>
          <w:p w14:paraId="1BA6E4AE" w14:textId="34A26F81" w:rsidR="00D67F69" w:rsidRPr="00D03462" w:rsidRDefault="00D03462" w:rsidP="0021614C">
            <w:pPr>
              <w:spacing w:line="276" w:lineRule="auto"/>
              <w:jc w:val="center"/>
              <w:rPr>
                <w:rFonts w:ascii="Arial" w:hAnsi="Arial" w:cs="Arial"/>
              </w:rPr>
            </w:pPr>
            <w:r>
              <w:rPr>
                <w:rFonts w:ascii="Arial" w:hAnsi="Arial" w:cs="Arial"/>
              </w:rPr>
              <w:t xml:space="preserve">+/- </w:t>
            </w:r>
            <w:r w:rsidR="00D67F69" w:rsidRPr="00D03462">
              <w:rPr>
                <w:rFonts w:ascii="Arial" w:hAnsi="Arial" w:cs="Arial"/>
              </w:rPr>
              <w:t>10% Adjustment</w:t>
            </w:r>
          </w:p>
        </w:tc>
        <w:tc>
          <w:tcPr>
            <w:tcW w:w="2539" w:type="dxa"/>
            <w:shd w:val="clear" w:color="auto" w:fill="FFCDCD"/>
            <w:vAlign w:val="center"/>
          </w:tcPr>
          <w:p w14:paraId="6C9FB55C" w14:textId="569C7410" w:rsidR="00D67F69" w:rsidRPr="00D03462" w:rsidRDefault="00D03462" w:rsidP="0021614C">
            <w:pPr>
              <w:spacing w:line="276" w:lineRule="auto"/>
              <w:jc w:val="center"/>
              <w:rPr>
                <w:rFonts w:ascii="Arial" w:hAnsi="Arial" w:cs="Arial"/>
              </w:rPr>
            </w:pPr>
            <w:r>
              <w:rPr>
                <w:rFonts w:ascii="Arial" w:hAnsi="Arial" w:cs="Arial"/>
              </w:rPr>
              <w:t xml:space="preserve">+/- </w:t>
            </w:r>
            <w:r w:rsidR="00D67F69" w:rsidRPr="00D03462">
              <w:rPr>
                <w:rFonts w:ascii="Arial" w:hAnsi="Arial" w:cs="Arial"/>
              </w:rPr>
              <w:t>5% Adjustment</w:t>
            </w:r>
          </w:p>
        </w:tc>
      </w:tr>
      <w:tr w:rsidR="00D67F69" w:rsidRPr="00D03462" w14:paraId="48A7E907" w14:textId="77777777" w:rsidTr="0021614C">
        <w:trPr>
          <w:trHeight w:val="561"/>
        </w:trPr>
        <w:tc>
          <w:tcPr>
            <w:tcW w:w="2230" w:type="dxa"/>
            <w:shd w:val="clear" w:color="auto" w:fill="FFCDCD"/>
            <w:vAlign w:val="center"/>
          </w:tcPr>
          <w:p w14:paraId="2794324A" w14:textId="77777777" w:rsidR="00D67F69" w:rsidRPr="00D03462" w:rsidRDefault="00D67F69" w:rsidP="0021614C">
            <w:pPr>
              <w:spacing w:line="276" w:lineRule="auto"/>
              <w:jc w:val="center"/>
              <w:rPr>
                <w:rFonts w:ascii="Arial" w:hAnsi="Arial" w:cs="Arial"/>
              </w:rPr>
            </w:pPr>
            <w:r w:rsidRPr="00D03462">
              <w:rPr>
                <w:rFonts w:ascii="Arial" w:hAnsi="Arial" w:cs="Arial"/>
              </w:rPr>
              <w:t>Negligent</w:t>
            </w:r>
          </w:p>
        </w:tc>
        <w:tc>
          <w:tcPr>
            <w:tcW w:w="2539" w:type="dxa"/>
            <w:shd w:val="clear" w:color="auto" w:fill="FFCDCD"/>
            <w:vAlign w:val="center"/>
          </w:tcPr>
          <w:p w14:paraId="7B5A08F6" w14:textId="6500B852" w:rsidR="00D67F69" w:rsidRPr="00D03462" w:rsidRDefault="00D03462" w:rsidP="0021614C">
            <w:pPr>
              <w:spacing w:line="276" w:lineRule="auto"/>
              <w:jc w:val="center"/>
              <w:rPr>
                <w:rFonts w:ascii="Arial" w:hAnsi="Arial" w:cs="Arial"/>
              </w:rPr>
            </w:pPr>
            <w:r>
              <w:rPr>
                <w:rFonts w:ascii="Arial" w:hAnsi="Arial" w:cs="Arial"/>
              </w:rPr>
              <w:t xml:space="preserve">+/- </w:t>
            </w:r>
            <w:r w:rsidR="00D67F69" w:rsidRPr="00D03462">
              <w:rPr>
                <w:rFonts w:ascii="Arial" w:hAnsi="Arial" w:cs="Arial"/>
              </w:rPr>
              <w:t>15% Adjustment</w:t>
            </w:r>
          </w:p>
        </w:tc>
        <w:tc>
          <w:tcPr>
            <w:tcW w:w="2539" w:type="dxa"/>
            <w:shd w:val="clear" w:color="auto" w:fill="FFCDCD"/>
            <w:vAlign w:val="center"/>
          </w:tcPr>
          <w:p w14:paraId="4816BB87" w14:textId="6A930689" w:rsidR="00D67F69" w:rsidRPr="00D03462" w:rsidRDefault="00D03462" w:rsidP="0021614C">
            <w:pPr>
              <w:spacing w:line="276" w:lineRule="auto"/>
              <w:jc w:val="center"/>
              <w:rPr>
                <w:rFonts w:ascii="Arial" w:hAnsi="Arial" w:cs="Arial"/>
              </w:rPr>
            </w:pPr>
            <w:r>
              <w:rPr>
                <w:rFonts w:ascii="Arial" w:hAnsi="Arial" w:cs="Arial"/>
              </w:rPr>
              <w:t xml:space="preserve">+/- </w:t>
            </w:r>
            <w:r w:rsidR="00D67F69" w:rsidRPr="00D03462">
              <w:rPr>
                <w:rFonts w:ascii="Arial" w:hAnsi="Arial" w:cs="Arial"/>
              </w:rPr>
              <w:t>10% Adjustment</w:t>
            </w:r>
          </w:p>
        </w:tc>
        <w:tc>
          <w:tcPr>
            <w:tcW w:w="2539" w:type="dxa"/>
            <w:shd w:val="clear" w:color="auto" w:fill="FFCDCD"/>
            <w:vAlign w:val="center"/>
          </w:tcPr>
          <w:p w14:paraId="2B25151E" w14:textId="256EA723" w:rsidR="00D67F69" w:rsidRPr="00D03462" w:rsidRDefault="00D03462" w:rsidP="0021614C">
            <w:pPr>
              <w:spacing w:line="276" w:lineRule="auto"/>
              <w:jc w:val="center"/>
              <w:rPr>
                <w:rFonts w:ascii="Arial" w:hAnsi="Arial" w:cs="Arial"/>
              </w:rPr>
            </w:pPr>
            <w:r>
              <w:rPr>
                <w:rFonts w:ascii="Arial" w:hAnsi="Arial" w:cs="Arial"/>
              </w:rPr>
              <w:t xml:space="preserve">+/- </w:t>
            </w:r>
            <w:r w:rsidR="00D67F69" w:rsidRPr="00D03462">
              <w:rPr>
                <w:rFonts w:ascii="Arial" w:hAnsi="Arial" w:cs="Arial"/>
              </w:rPr>
              <w:t>5% Adjustment</w:t>
            </w:r>
          </w:p>
        </w:tc>
      </w:tr>
      <w:tr w:rsidR="00D67F69" w:rsidRPr="00D03462" w14:paraId="033380A0" w14:textId="77777777" w:rsidTr="0021614C">
        <w:trPr>
          <w:trHeight w:val="554"/>
        </w:trPr>
        <w:tc>
          <w:tcPr>
            <w:tcW w:w="2230" w:type="dxa"/>
            <w:shd w:val="clear" w:color="auto" w:fill="FFCDCD"/>
            <w:vAlign w:val="center"/>
          </w:tcPr>
          <w:p w14:paraId="6CA3962B" w14:textId="77777777" w:rsidR="00D67F69" w:rsidRPr="00D03462" w:rsidRDefault="00D67F69" w:rsidP="0021614C">
            <w:pPr>
              <w:spacing w:line="276" w:lineRule="auto"/>
              <w:jc w:val="center"/>
              <w:rPr>
                <w:rFonts w:ascii="Arial" w:hAnsi="Arial" w:cs="Arial"/>
              </w:rPr>
            </w:pPr>
            <w:r w:rsidRPr="00D03462">
              <w:rPr>
                <w:rFonts w:ascii="Arial" w:hAnsi="Arial" w:cs="Arial"/>
              </w:rPr>
              <w:t>Low culpability</w:t>
            </w:r>
          </w:p>
        </w:tc>
        <w:tc>
          <w:tcPr>
            <w:tcW w:w="2539" w:type="dxa"/>
            <w:shd w:val="clear" w:color="auto" w:fill="FFCDCD"/>
            <w:vAlign w:val="center"/>
          </w:tcPr>
          <w:p w14:paraId="5AC4EDA6" w14:textId="4EA86D22" w:rsidR="00D67F69" w:rsidRPr="00D03462" w:rsidRDefault="00D03462" w:rsidP="0021614C">
            <w:pPr>
              <w:spacing w:line="276" w:lineRule="auto"/>
              <w:jc w:val="center"/>
              <w:rPr>
                <w:rFonts w:ascii="Arial" w:hAnsi="Arial" w:cs="Arial"/>
              </w:rPr>
            </w:pPr>
            <w:r>
              <w:rPr>
                <w:rFonts w:ascii="Arial" w:hAnsi="Arial" w:cs="Arial"/>
              </w:rPr>
              <w:t xml:space="preserve">+/- </w:t>
            </w:r>
            <w:r w:rsidR="00D67F69" w:rsidRPr="00D03462">
              <w:rPr>
                <w:rFonts w:ascii="Arial" w:hAnsi="Arial" w:cs="Arial"/>
              </w:rPr>
              <w:t>10% Adjustment</w:t>
            </w:r>
          </w:p>
        </w:tc>
        <w:tc>
          <w:tcPr>
            <w:tcW w:w="2539" w:type="dxa"/>
            <w:shd w:val="clear" w:color="auto" w:fill="FFCDCD"/>
            <w:vAlign w:val="center"/>
          </w:tcPr>
          <w:p w14:paraId="4FDDE739" w14:textId="2E6F8CB1" w:rsidR="00D67F69" w:rsidRPr="00D03462" w:rsidRDefault="00D03462" w:rsidP="0021614C">
            <w:pPr>
              <w:spacing w:line="276" w:lineRule="auto"/>
              <w:jc w:val="center"/>
              <w:rPr>
                <w:rFonts w:ascii="Arial" w:hAnsi="Arial" w:cs="Arial"/>
              </w:rPr>
            </w:pPr>
            <w:r>
              <w:rPr>
                <w:rFonts w:ascii="Arial" w:hAnsi="Arial" w:cs="Arial"/>
              </w:rPr>
              <w:t xml:space="preserve">+/- </w:t>
            </w:r>
            <w:r w:rsidR="00D67F69" w:rsidRPr="00D03462">
              <w:rPr>
                <w:rFonts w:ascii="Arial" w:hAnsi="Arial" w:cs="Arial"/>
              </w:rPr>
              <w:t>5% Adjustment</w:t>
            </w:r>
          </w:p>
        </w:tc>
        <w:tc>
          <w:tcPr>
            <w:tcW w:w="2539" w:type="dxa"/>
            <w:shd w:val="clear" w:color="auto" w:fill="FFCDCD"/>
            <w:vAlign w:val="center"/>
          </w:tcPr>
          <w:p w14:paraId="0EFC6175" w14:textId="77777777" w:rsidR="00D67F69" w:rsidRPr="00D03462" w:rsidRDefault="00D67F69" w:rsidP="0021614C">
            <w:pPr>
              <w:spacing w:line="276" w:lineRule="auto"/>
              <w:jc w:val="center"/>
              <w:rPr>
                <w:rFonts w:ascii="Arial" w:hAnsi="Arial" w:cs="Arial"/>
              </w:rPr>
            </w:pPr>
            <w:r w:rsidRPr="00D03462">
              <w:rPr>
                <w:rFonts w:ascii="Arial" w:hAnsi="Arial" w:cs="Arial"/>
              </w:rPr>
              <w:t>0% Adjustment</w:t>
            </w:r>
          </w:p>
        </w:tc>
      </w:tr>
    </w:tbl>
    <w:p w14:paraId="69DA39A9" w14:textId="77777777" w:rsidR="00D67F69" w:rsidRDefault="00D67F69" w:rsidP="00D67F69">
      <w:pPr>
        <w:pStyle w:val="EHRBodytext"/>
      </w:pPr>
    </w:p>
    <w:p w14:paraId="199BF0A8" w14:textId="17B0D144" w:rsidR="00D67F69" w:rsidRDefault="00D03462" w:rsidP="00D67F69">
      <w:pPr>
        <w:pStyle w:val="EHRBodytext"/>
      </w:pPr>
      <w:r>
        <w:t xml:space="preserve">5.4.5 </w:t>
      </w:r>
      <w:r>
        <w:tab/>
      </w:r>
      <w:r w:rsidR="00D67F69">
        <w:t>Where there is sufficiently reliable evidence of rental income from and/or asset value of the offender’s housing business</w:t>
      </w:r>
      <w:r>
        <w:t xml:space="preserve">, the council can </w:t>
      </w:r>
      <w:r w:rsidR="00D67F69">
        <w:t xml:space="preserve">increase the amount of the penalty. Sections 114 and 115 of the Renters’ Rights Act 2025 provide investigatory powers to require information from persons for the purposes of determining the amount of a civil penalty. </w:t>
      </w:r>
    </w:p>
    <w:p w14:paraId="6207454E" w14:textId="602511D7" w:rsidR="00D67F69" w:rsidRDefault="00D03462" w:rsidP="00D67F69">
      <w:pPr>
        <w:pStyle w:val="EHRBodytext"/>
      </w:pPr>
      <w:r>
        <w:t xml:space="preserve">5.4.6 </w:t>
      </w:r>
      <w:r>
        <w:tab/>
        <w:t>A</w:t>
      </w:r>
      <w:r w:rsidR="00D67F69">
        <w:t xml:space="preserve">s a minimum, offenders </w:t>
      </w:r>
      <w:r>
        <w:t xml:space="preserve">should </w:t>
      </w:r>
      <w:r w:rsidR="00D67F69">
        <w:t xml:space="preserve">not financially benefit from their offending behaviour. Where </w:t>
      </w:r>
      <w:r>
        <w:t>there is</w:t>
      </w:r>
      <w:r w:rsidR="00D67F69">
        <w:t xml:space="preserve"> sufficiently reliable evidence of any profit arising from the offending </w:t>
      </w:r>
      <w:r>
        <w:t>behaviour,</w:t>
      </w:r>
      <w:r w:rsidR="00D67F69">
        <w:t xml:space="preserve"> they should take this into account in arriving at the final civil penalty amount. </w:t>
      </w:r>
      <w:proofErr w:type="gramStart"/>
      <w:r>
        <w:t>In order for</w:t>
      </w:r>
      <w:proofErr w:type="gramEnd"/>
      <w:r>
        <w:t xml:space="preserve"> this t</w:t>
      </w:r>
      <w:r w:rsidR="00364FAA">
        <w:t>o</w:t>
      </w:r>
      <w:r>
        <w:t xml:space="preserve"> be considered the profit must relate to the property that is subject to the civil penalty and have been accrued during the period of the offence.</w:t>
      </w:r>
      <w:r w:rsidR="00D67F69">
        <w:t xml:space="preserve">  </w:t>
      </w:r>
    </w:p>
    <w:p w14:paraId="4BFA9A0D" w14:textId="0D7972C3" w:rsidR="00D67F69" w:rsidRDefault="00D03462" w:rsidP="00D67F69">
      <w:pPr>
        <w:pStyle w:val="EHRBodytext"/>
      </w:pPr>
      <w:r>
        <w:t xml:space="preserve">5.4.7 </w:t>
      </w:r>
      <w:r>
        <w:tab/>
      </w:r>
      <w:r w:rsidR="00D67F69">
        <w:t xml:space="preserve">In setting a final civil penalty amount, </w:t>
      </w:r>
      <w:r>
        <w:t>the Council</w:t>
      </w:r>
      <w:r w:rsidR="00D67F69">
        <w:t xml:space="preserve"> may take account of any information supplied by the offender about their financial circumstances. </w:t>
      </w:r>
      <w:r>
        <w:t xml:space="preserve">If this is not provided </w:t>
      </w:r>
      <w:r w:rsidR="00D67F69">
        <w:t xml:space="preserve">or </w:t>
      </w:r>
      <w:r>
        <w:t xml:space="preserve">the Council </w:t>
      </w:r>
      <w:r w:rsidR="00D67F69">
        <w:t xml:space="preserve">is not satisfied that it has been given sufficiently reliable information, it </w:t>
      </w:r>
      <w:r w:rsidR="00D061E6">
        <w:t>is</w:t>
      </w:r>
      <w:r w:rsidR="00D67F69">
        <w:t xml:space="preserve"> </w:t>
      </w:r>
      <w:r w:rsidR="00D061E6">
        <w:t xml:space="preserve">inferred </w:t>
      </w:r>
      <w:r w:rsidR="00D67F69">
        <w:t>that the civil penalty</w:t>
      </w:r>
      <w:r w:rsidR="00D061E6">
        <w:t xml:space="preserve"> can be paid</w:t>
      </w:r>
      <w:r w:rsidR="00D67F69">
        <w:t>.</w:t>
      </w:r>
    </w:p>
    <w:p w14:paraId="6BEBB86F" w14:textId="2BCE8D41" w:rsidR="00D67F69" w:rsidRDefault="00D061E6" w:rsidP="00D67F69">
      <w:pPr>
        <w:pStyle w:val="EHRBodytext"/>
      </w:pPr>
      <w:r>
        <w:t xml:space="preserve">5.4.8 </w:t>
      </w:r>
      <w:r>
        <w:tab/>
        <w:t>B</w:t>
      </w:r>
      <w:r w:rsidR="00D67F69">
        <w:t xml:space="preserve">efore issuing final notices, </w:t>
      </w:r>
      <w:r>
        <w:t xml:space="preserve">the Council will </w:t>
      </w:r>
      <w:r w:rsidR="00D67F69">
        <w:t>consider other civil penalties being issued against the same offender at the same time to reach an aggregate amount that is just and proportionate.</w:t>
      </w:r>
    </w:p>
    <w:p w14:paraId="65EABE11" w14:textId="28E228AD" w:rsidR="00D67F69" w:rsidRDefault="00D67F69" w:rsidP="00D67F69">
      <w:pPr>
        <w:pStyle w:val="EHRBodytext"/>
      </w:pPr>
      <w:r>
        <w:t xml:space="preserve"> </w:t>
      </w:r>
      <w:r w:rsidR="00D061E6">
        <w:t xml:space="preserve">5.4.9 </w:t>
      </w:r>
      <w:r w:rsidR="00D061E6">
        <w:tab/>
      </w:r>
      <w:r>
        <w:t xml:space="preserve">When multiple offences have occurred, whether they arise out of the same or different incidents, if the </w:t>
      </w:r>
      <w:r w:rsidR="00D061E6">
        <w:t>total</w:t>
      </w:r>
      <w:r>
        <w:t xml:space="preserve"> amount is not just and proportionate, </w:t>
      </w:r>
      <w:r w:rsidR="00D061E6">
        <w:t xml:space="preserve">the Council will </w:t>
      </w:r>
      <w:r>
        <w:t xml:space="preserve">consider whether </w:t>
      </w:r>
      <w:proofErr w:type="gramStart"/>
      <w:r>
        <w:t>all of</w:t>
      </w:r>
      <w:proofErr w:type="gramEnd"/>
      <w:r>
        <w:t xml:space="preserve"> the civil penalties should be proportionately reduced</w:t>
      </w:r>
      <w:r w:rsidR="00D061E6">
        <w:t xml:space="preserve"> to ensure the overall penalties are proportionate</w:t>
      </w:r>
      <w:r>
        <w:t xml:space="preserve">. </w:t>
      </w:r>
    </w:p>
    <w:p w14:paraId="50F6A940" w14:textId="6AADE078" w:rsidR="00D67F69" w:rsidRDefault="00D061E6" w:rsidP="00D67F69">
      <w:pPr>
        <w:pStyle w:val="EHRBodytext"/>
      </w:pPr>
      <w:r>
        <w:t xml:space="preserve">5.4.10 </w:t>
      </w:r>
      <w:r>
        <w:tab/>
      </w:r>
      <w:r w:rsidR="00D67F69">
        <w:t>Any rent repayment orders made against the offender in respect of the same offence are to be disregarded. </w:t>
      </w:r>
    </w:p>
    <w:p w14:paraId="2F4B1128" w14:textId="77777777" w:rsidR="00D67F69" w:rsidRDefault="00D67F69" w:rsidP="00D67F69">
      <w:pPr>
        <w:pStyle w:val="EHR-Sub-heading1"/>
        <w:numPr>
          <w:ilvl w:val="0"/>
          <w:numId w:val="0"/>
        </w:numPr>
      </w:pPr>
    </w:p>
    <w:p w14:paraId="038BC1CE" w14:textId="45F30B25" w:rsidR="00D67F69" w:rsidRDefault="00D061E6" w:rsidP="00D67F69">
      <w:pPr>
        <w:pStyle w:val="EHRBodytext"/>
      </w:pPr>
      <w:r>
        <w:lastRenderedPageBreak/>
        <w:t>5.4.11</w:t>
      </w:r>
      <w:r w:rsidR="00D67F69" w:rsidRPr="00D67F69">
        <w:tab/>
        <w:t>The exception to th</w:t>
      </w:r>
      <w:r>
        <w:t xml:space="preserve">e guidance </w:t>
      </w:r>
      <w:r w:rsidR="00D67F69" w:rsidRPr="00D67F69">
        <w:t>is for breaches of licensing conditions under sections 72(3) and 95(2) of the Housing Act 2004, where the Council has determined its own starting levels based on the seriousness of the specific licence condition or type of licence condition that has not been complied with.</w:t>
      </w:r>
    </w:p>
    <w:p w14:paraId="4DBCB6D9" w14:textId="3511F970" w:rsidR="002E375E" w:rsidRDefault="007B4F45" w:rsidP="002E375E">
      <w:pPr>
        <w:pStyle w:val="EHRBodytext"/>
      </w:pPr>
      <w:r>
        <w:t>5.4.</w:t>
      </w:r>
      <w:r w:rsidR="00D061E6">
        <w:t>1</w:t>
      </w:r>
      <w:r>
        <w:t xml:space="preserve">2 </w:t>
      </w:r>
      <w:r>
        <w:tab/>
      </w:r>
      <w:r w:rsidR="009C7251">
        <w:t xml:space="preserve">The following tables provide </w:t>
      </w:r>
      <w:r w:rsidR="009C7251" w:rsidRPr="009C7251">
        <w:t xml:space="preserve">an indication of the level of fine that is likely to be appropriate and serves as a starting point for any decision. </w:t>
      </w:r>
      <w:r w:rsidR="009C7251">
        <w:t>T</w:t>
      </w:r>
      <w:r w:rsidR="009C7251" w:rsidRPr="009C7251">
        <w:t xml:space="preserve">he </w:t>
      </w:r>
      <w:r w:rsidR="009C7251">
        <w:t xml:space="preserve">likely </w:t>
      </w:r>
      <w:r w:rsidR="009C7251" w:rsidRPr="009C7251">
        <w:t>asset assessment has been based on the number of properties either being managed or owned by the landlord or agent</w:t>
      </w:r>
      <w:r w:rsidR="00D061E6">
        <w:t xml:space="preserve"> as a guide</w:t>
      </w:r>
      <w:r w:rsidR="009C7251" w:rsidRPr="009C7251">
        <w:t>. The actual amount of fine could change depending on the outcome of the assessment</w:t>
      </w:r>
      <w:r>
        <w:t xml:space="preserve"> and which level of income/asset the landlord or agent falls into</w:t>
      </w:r>
      <w:r w:rsidR="009C7251" w:rsidRPr="009C7251">
        <w:t>.</w:t>
      </w:r>
    </w:p>
    <w:p w14:paraId="2EE2DFC9" w14:textId="7741A017" w:rsidR="007B4F45" w:rsidRDefault="007B4F45" w:rsidP="002E375E">
      <w:pPr>
        <w:pStyle w:val="EHRBodytext"/>
      </w:pPr>
      <w:r>
        <w:t xml:space="preserve">5.4.3 </w:t>
      </w:r>
      <w:r>
        <w:tab/>
      </w:r>
      <w:r w:rsidRPr="007B4F45">
        <w:t xml:space="preserve">As part of the considerations mentioned in </w:t>
      </w:r>
      <w:r>
        <w:t>5.1.2</w:t>
      </w:r>
      <w:r w:rsidRPr="007B4F45">
        <w:t xml:space="preserve"> above, the Council should assess all assets including any income of the landlord or letting agent and not just rental income.</w:t>
      </w:r>
    </w:p>
    <w:p w14:paraId="590B5827" w14:textId="139AE471" w:rsidR="002E375E" w:rsidRDefault="007B4F45" w:rsidP="007B4F45">
      <w:pPr>
        <w:pStyle w:val="EHRBodytext"/>
      </w:pPr>
      <w:r w:rsidRPr="007B4F45">
        <w:rPr>
          <w:b/>
          <w:bCs/>
        </w:rPr>
        <w:t xml:space="preserve">Table 1 </w:t>
      </w:r>
      <w:r>
        <w:rPr>
          <w:b/>
          <w:bCs/>
        </w:rPr>
        <w:tab/>
      </w:r>
      <w:r w:rsidR="002E375E">
        <w:t xml:space="preserve">Landlord/Property agent with 1-10 properties (income/asset value of up to approx. </w:t>
      </w:r>
      <w:r>
        <w:t>£</w:t>
      </w:r>
      <w:r w:rsidR="002E375E">
        <w:t>38K per annum/£750K)</w:t>
      </w:r>
    </w:p>
    <w:tbl>
      <w:tblPr>
        <w:tblStyle w:val="TableGrid"/>
        <w:tblpPr w:leftFromText="180" w:rightFromText="180" w:vertAnchor="text" w:horzAnchor="margin" w:tblpXSpec="center" w:tblpY="181"/>
        <w:tblW w:w="9847" w:type="dxa"/>
        <w:tblLayout w:type="fixed"/>
        <w:tblLook w:val="04A0" w:firstRow="1" w:lastRow="0" w:firstColumn="1" w:lastColumn="0" w:noHBand="0" w:noVBand="1"/>
        <w:tblCaption w:val="The below indicates the starting point for the penalty in relation to the category of the offence and the level of impact."/>
        <w:tblDescription w:val="The below indicates the starting point for the penalty in relation to the category of the offence and the level of impact. Deliberate acts carry the highest level of fine, followed by Reckless, Negligent and Low culpability. Each Catergory of offence is then defined by the seriousness of the impact on those affected. Level 1 is a major impact, level 2 is a serious impact and level 3 is a minor impact. A deliberate offence with a major impact will receive the highest possible penalty of £30,000."/>
      </w:tblPr>
      <w:tblGrid>
        <w:gridCol w:w="2230"/>
        <w:gridCol w:w="2539"/>
        <w:gridCol w:w="2539"/>
        <w:gridCol w:w="2539"/>
      </w:tblGrid>
      <w:tr w:rsidR="002E375E" w:rsidRPr="007B4F45" w14:paraId="779D6BCE" w14:textId="77777777" w:rsidTr="00F13516">
        <w:trPr>
          <w:trHeight w:val="523"/>
          <w:tblHeader/>
        </w:trPr>
        <w:tc>
          <w:tcPr>
            <w:tcW w:w="2230" w:type="dxa"/>
            <w:shd w:val="clear" w:color="auto" w:fill="FFFFCC"/>
            <w:vAlign w:val="center"/>
          </w:tcPr>
          <w:p w14:paraId="4B3D9C82" w14:textId="77777777" w:rsidR="002E375E" w:rsidRPr="007B4F45" w:rsidRDefault="002E375E" w:rsidP="00F13516">
            <w:pPr>
              <w:spacing w:line="276" w:lineRule="auto"/>
              <w:jc w:val="center"/>
              <w:rPr>
                <w:rFonts w:ascii="Arial" w:hAnsi="Arial" w:cs="Arial"/>
              </w:rPr>
            </w:pPr>
            <w:r w:rsidRPr="007B4F45">
              <w:rPr>
                <w:rFonts w:ascii="Arial" w:hAnsi="Arial" w:cs="Arial"/>
                <w:b/>
              </w:rPr>
              <w:t>Category of offence</w:t>
            </w:r>
          </w:p>
        </w:tc>
        <w:tc>
          <w:tcPr>
            <w:tcW w:w="2539" w:type="dxa"/>
            <w:shd w:val="clear" w:color="auto" w:fill="FFFFCC"/>
            <w:vAlign w:val="center"/>
          </w:tcPr>
          <w:p w14:paraId="15AA0DF5" w14:textId="77777777" w:rsidR="002E375E" w:rsidRPr="007B4F45" w:rsidRDefault="002E375E" w:rsidP="00F13516">
            <w:pPr>
              <w:spacing w:line="276" w:lineRule="auto"/>
              <w:jc w:val="center"/>
              <w:rPr>
                <w:rFonts w:ascii="Arial" w:hAnsi="Arial" w:cs="Arial"/>
              </w:rPr>
            </w:pPr>
            <w:r w:rsidRPr="007B4F45">
              <w:rPr>
                <w:rFonts w:ascii="Arial" w:hAnsi="Arial" w:cs="Arial"/>
                <w:b/>
              </w:rPr>
              <w:t>level 1 – Major impact</w:t>
            </w:r>
          </w:p>
        </w:tc>
        <w:tc>
          <w:tcPr>
            <w:tcW w:w="2539" w:type="dxa"/>
            <w:shd w:val="clear" w:color="auto" w:fill="FFFFCC"/>
            <w:vAlign w:val="center"/>
          </w:tcPr>
          <w:p w14:paraId="37E6249B" w14:textId="77777777" w:rsidR="002E375E" w:rsidRPr="007B4F45" w:rsidRDefault="002E375E" w:rsidP="00F13516">
            <w:pPr>
              <w:spacing w:line="276" w:lineRule="auto"/>
              <w:jc w:val="center"/>
              <w:rPr>
                <w:rFonts w:ascii="Arial" w:hAnsi="Arial" w:cs="Arial"/>
              </w:rPr>
            </w:pPr>
            <w:r w:rsidRPr="007B4F45">
              <w:rPr>
                <w:rFonts w:ascii="Arial" w:hAnsi="Arial" w:cs="Arial"/>
                <w:b/>
              </w:rPr>
              <w:t>Level 2 – Serious impact</w:t>
            </w:r>
          </w:p>
        </w:tc>
        <w:tc>
          <w:tcPr>
            <w:tcW w:w="2539" w:type="dxa"/>
            <w:shd w:val="clear" w:color="auto" w:fill="FFFFCC"/>
            <w:vAlign w:val="center"/>
          </w:tcPr>
          <w:p w14:paraId="1317156B" w14:textId="77777777" w:rsidR="002E375E" w:rsidRPr="007B4F45" w:rsidRDefault="002E375E" w:rsidP="00F13516">
            <w:pPr>
              <w:spacing w:line="276" w:lineRule="auto"/>
              <w:jc w:val="center"/>
              <w:rPr>
                <w:rFonts w:ascii="Arial" w:hAnsi="Arial" w:cs="Arial"/>
              </w:rPr>
            </w:pPr>
            <w:r w:rsidRPr="007B4F45">
              <w:rPr>
                <w:rFonts w:ascii="Arial" w:hAnsi="Arial" w:cs="Arial"/>
                <w:b/>
              </w:rPr>
              <w:t>Level 3 – Minor impact</w:t>
            </w:r>
          </w:p>
        </w:tc>
      </w:tr>
      <w:tr w:rsidR="002E375E" w:rsidRPr="007B4F45" w14:paraId="3CC4C74F" w14:textId="77777777" w:rsidTr="00F13516">
        <w:trPr>
          <w:trHeight w:val="523"/>
        </w:trPr>
        <w:tc>
          <w:tcPr>
            <w:tcW w:w="2230" w:type="dxa"/>
            <w:shd w:val="clear" w:color="auto" w:fill="FFFFCC"/>
            <w:vAlign w:val="center"/>
          </w:tcPr>
          <w:p w14:paraId="6D3DB80B" w14:textId="77777777" w:rsidR="002E375E" w:rsidRPr="007B4F45" w:rsidRDefault="002E375E" w:rsidP="00F13516">
            <w:pPr>
              <w:spacing w:line="276" w:lineRule="auto"/>
              <w:jc w:val="center"/>
              <w:rPr>
                <w:rFonts w:ascii="Arial" w:hAnsi="Arial" w:cs="Arial"/>
              </w:rPr>
            </w:pPr>
            <w:r w:rsidRPr="007B4F45">
              <w:rPr>
                <w:rFonts w:ascii="Arial" w:hAnsi="Arial" w:cs="Arial"/>
              </w:rPr>
              <w:t>Deliberate</w:t>
            </w:r>
          </w:p>
        </w:tc>
        <w:tc>
          <w:tcPr>
            <w:tcW w:w="2539" w:type="dxa"/>
            <w:shd w:val="clear" w:color="auto" w:fill="FFFFCC"/>
            <w:vAlign w:val="center"/>
          </w:tcPr>
          <w:p w14:paraId="73CA61B9" w14:textId="77777777" w:rsidR="002E375E" w:rsidRPr="007B4F45" w:rsidRDefault="002E375E" w:rsidP="00F13516">
            <w:pPr>
              <w:spacing w:line="276" w:lineRule="auto"/>
              <w:jc w:val="center"/>
              <w:rPr>
                <w:rFonts w:ascii="Arial" w:hAnsi="Arial" w:cs="Arial"/>
              </w:rPr>
            </w:pPr>
            <w:r w:rsidRPr="007B4F45">
              <w:rPr>
                <w:rFonts w:ascii="Arial" w:hAnsi="Arial" w:cs="Arial"/>
              </w:rPr>
              <w:t>£12,500</w:t>
            </w:r>
          </w:p>
        </w:tc>
        <w:tc>
          <w:tcPr>
            <w:tcW w:w="2539" w:type="dxa"/>
            <w:shd w:val="clear" w:color="auto" w:fill="FFFFCC"/>
            <w:vAlign w:val="center"/>
          </w:tcPr>
          <w:p w14:paraId="3613ED6B" w14:textId="77777777" w:rsidR="002E375E" w:rsidRPr="007B4F45" w:rsidRDefault="002E375E" w:rsidP="00F13516">
            <w:pPr>
              <w:spacing w:line="276" w:lineRule="auto"/>
              <w:jc w:val="center"/>
              <w:rPr>
                <w:rFonts w:ascii="Arial" w:hAnsi="Arial" w:cs="Arial"/>
              </w:rPr>
            </w:pPr>
            <w:r w:rsidRPr="007B4F45">
              <w:rPr>
                <w:rFonts w:ascii="Arial" w:hAnsi="Arial" w:cs="Arial"/>
              </w:rPr>
              <w:t>£10,000</w:t>
            </w:r>
          </w:p>
        </w:tc>
        <w:tc>
          <w:tcPr>
            <w:tcW w:w="2539" w:type="dxa"/>
            <w:shd w:val="clear" w:color="auto" w:fill="FFFFCC"/>
            <w:vAlign w:val="center"/>
          </w:tcPr>
          <w:p w14:paraId="3587FB69" w14:textId="77777777" w:rsidR="002E375E" w:rsidRPr="007B4F45" w:rsidRDefault="002E375E" w:rsidP="00F13516">
            <w:pPr>
              <w:spacing w:line="276" w:lineRule="auto"/>
              <w:jc w:val="center"/>
              <w:rPr>
                <w:rFonts w:ascii="Arial" w:hAnsi="Arial" w:cs="Arial"/>
              </w:rPr>
            </w:pPr>
            <w:r w:rsidRPr="007B4F45">
              <w:rPr>
                <w:rFonts w:ascii="Arial" w:hAnsi="Arial" w:cs="Arial"/>
              </w:rPr>
              <w:t>£7,500</w:t>
            </w:r>
          </w:p>
        </w:tc>
      </w:tr>
      <w:tr w:rsidR="002E375E" w:rsidRPr="007B4F45" w14:paraId="43D97C67" w14:textId="77777777" w:rsidTr="00F13516">
        <w:trPr>
          <w:trHeight w:val="544"/>
        </w:trPr>
        <w:tc>
          <w:tcPr>
            <w:tcW w:w="2230" w:type="dxa"/>
            <w:shd w:val="clear" w:color="auto" w:fill="FFFFCC"/>
            <w:vAlign w:val="center"/>
          </w:tcPr>
          <w:p w14:paraId="641EE535" w14:textId="77777777" w:rsidR="002E375E" w:rsidRPr="007B4F45" w:rsidRDefault="002E375E" w:rsidP="00F13516">
            <w:pPr>
              <w:spacing w:line="276" w:lineRule="auto"/>
              <w:jc w:val="center"/>
              <w:rPr>
                <w:rFonts w:ascii="Arial" w:hAnsi="Arial" w:cs="Arial"/>
              </w:rPr>
            </w:pPr>
            <w:r w:rsidRPr="007B4F45">
              <w:rPr>
                <w:rFonts w:ascii="Arial" w:hAnsi="Arial" w:cs="Arial"/>
              </w:rPr>
              <w:t>Reckless</w:t>
            </w:r>
          </w:p>
        </w:tc>
        <w:tc>
          <w:tcPr>
            <w:tcW w:w="2539" w:type="dxa"/>
            <w:shd w:val="clear" w:color="auto" w:fill="FFFFCC"/>
            <w:vAlign w:val="center"/>
          </w:tcPr>
          <w:p w14:paraId="104C1559" w14:textId="77777777" w:rsidR="002E375E" w:rsidRPr="007B4F45" w:rsidRDefault="002E375E" w:rsidP="00F13516">
            <w:pPr>
              <w:spacing w:line="276" w:lineRule="auto"/>
              <w:jc w:val="center"/>
              <w:rPr>
                <w:rFonts w:ascii="Arial" w:hAnsi="Arial" w:cs="Arial"/>
              </w:rPr>
            </w:pPr>
            <w:r w:rsidRPr="007B4F45">
              <w:rPr>
                <w:rFonts w:ascii="Arial" w:hAnsi="Arial" w:cs="Arial"/>
              </w:rPr>
              <w:t>£6,500</w:t>
            </w:r>
          </w:p>
        </w:tc>
        <w:tc>
          <w:tcPr>
            <w:tcW w:w="2539" w:type="dxa"/>
            <w:shd w:val="clear" w:color="auto" w:fill="FFFFCC"/>
            <w:vAlign w:val="center"/>
          </w:tcPr>
          <w:p w14:paraId="51DBAACF" w14:textId="77777777" w:rsidR="002E375E" w:rsidRPr="007B4F45" w:rsidRDefault="002E375E" w:rsidP="00F13516">
            <w:pPr>
              <w:spacing w:line="276" w:lineRule="auto"/>
              <w:jc w:val="center"/>
              <w:rPr>
                <w:rFonts w:ascii="Arial" w:hAnsi="Arial" w:cs="Arial"/>
              </w:rPr>
            </w:pPr>
            <w:r w:rsidRPr="007B4F45">
              <w:rPr>
                <w:rFonts w:ascii="Arial" w:hAnsi="Arial" w:cs="Arial"/>
              </w:rPr>
              <w:t>£5,000</w:t>
            </w:r>
          </w:p>
        </w:tc>
        <w:tc>
          <w:tcPr>
            <w:tcW w:w="2539" w:type="dxa"/>
            <w:shd w:val="clear" w:color="auto" w:fill="FFFFCC"/>
            <w:vAlign w:val="center"/>
          </w:tcPr>
          <w:p w14:paraId="733498DE" w14:textId="77777777" w:rsidR="002E375E" w:rsidRPr="007B4F45" w:rsidRDefault="002E375E" w:rsidP="00F13516">
            <w:pPr>
              <w:spacing w:line="276" w:lineRule="auto"/>
              <w:jc w:val="center"/>
              <w:rPr>
                <w:rFonts w:ascii="Arial" w:hAnsi="Arial" w:cs="Arial"/>
              </w:rPr>
            </w:pPr>
            <w:r w:rsidRPr="007B4F45">
              <w:rPr>
                <w:rFonts w:ascii="Arial" w:hAnsi="Arial" w:cs="Arial"/>
              </w:rPr>
              <w:t>£3,500</w:t>
            </w:r>
          </w:p>
        </w:tc>
      </w:tr>
      <w:tr w:rsidR="002E375E" w:rsidRPr="007B4F45" w14:paraId="6FCEC8A0" w14:textId="77777777" w:rsidTr="00F13516">
        <w:trPr>
          <w:trHeight w:val="566"/>
        </w:trPr>
        <w:tc>
          <w:tcPr>
            <w:tcW w:w="2230" w:type="dxa"/>
            <w:tcBorders>
              <w:bottom w:val="single" w:sz="2" w:space="0" w:color="auto"/>
            </w:tcBorders>
            <w:shd w:val="clear" w:color="auto" w:fill="FFFFCC"/>
            <w:vAlign w:val="center"/>
          </w:tcPr>
          <w:p w14:paraId="098649B9" w14:textId="77777777" w:rsidR="002E375E" w:rsidRPr="007B4F45" w:rsidRDefault="002E375E" w:rsidP="00F13516">
            <w:pPr>
              <w:spacing w:line="276" w:lineRule="auto"/>
              <w:jc w:val="center"/>
              <w:rPr>
                <w:rFonts w:ascii="Arial" w:hAnsi="Arial" w:cs="Arial"/>
              </w:rPr>
            </w:pPr>
            <w:r w:rsidRPr="007B4F45">
              <w:rPr>
                <w:rFonts w:ascii="Arial" w:hAnsi="Arial" w:cs="Arial"/>
              </w:rPr>
              <w:t>Negligent</w:t>
            </w:r>
          </w:p>
        </w:tc>
        <w:tc>
          <w:tcPr>
            <w:tcW w:w="2539" w:type="dxa"/>
            <w:tcBorders>
              <w:bottom w:val="single" w:sz="2" w:space="0" w:color="auto"/>
            </w:tcBorders>
            <w:shd w:val="clear" w:color="auto" w:fill="FFFFCC"/>
            <w:vAlign w:val="center"/>
          </w:tcPr>
          <w:p w14:paraId="7FC6EA90" w14:textId="77777777" w:rsidR="002E375E" w:rsidRPr="007B4F45" w:rsidRDefault="002E375E" w:rsidP="00F13516">
            <w:pPr>
              <w:spacing w:line="276" w:lineRule="auto"/>
              <w:jc w:val="center"/>
              <w:rPr>
                <w:rFonts w:ascii="Arial" w:hAnsi="Arial" w:cs="Arial"/>
              </w:rPr>
            </w:pPr>
            <w:r w:rsidRPr="007B4F45">
              <w:rPr>
                <w:rFonts w:ascii="Arial" w:hAnsi="Arial" w:cs="Arial"/>
              </w:rPr>
              <w:t>£3,000</w:t>
            </w:r>
          </w:p>
        </w:tc>
        <w:tc>
          <w:tcPr>
            <w:tcW w:w="2539" w:type="dxa"/>
            <w:tcBorders>
              <w:bottom w:val="single" w:sz="2" w:space="0" w:color="auto"/>
            </w:tcBorders>
            <w:shd w:val="clear" w:color="auto" w:fill="FFFFCC"/>
            <w:vAlign w:val="center"/>
          </w:tcPr>
          <w:p w14:paraId="0D218489" w14:textId="77777777" w:rsidR="002E375E" w:rsidRPr="007B4F45" w:rsidRDefault="002E375E" w:rsidP="00F13516">
            <w:pPr>
              <w:spacing w:line="276" w:lineRule="auto"/>
              <w:jc w:val="center"/>
              <w:rPr>
                <w:rFonts w:ascii="Arial" w:hAnsi="Arial" w:cs="Arial"/>
              </w:rPr>
            </w:pPr>
            <w:r w:rsidRPr="007B4F45">
              <w:rPr>
                <w:rFonts w:ascii="Arial" w:hAnsi="Arial" w:cs="Arial"/>
              </w:rPr>
              <w:t>£2,500</w:t>
            </w:r>
          </w:p>
        </w:tc>
        <w:tc>
          <w:tcPr>
            <w:tcW w:w="2539" w:type="dxa"/>
            <w:tcBorders>
              <w:bottom w:val="single" w:sz="2" w:space="0" w:color="auto"/>
            </w:tcBorders>
            <w:shd w:val="clear" w:color="auto" w:fill="FFFFCC"/>
            <w:vAlign w:val="center"/>
          </w:tcPr>
          <w:p w14:paraId="59E636BD" w14:textId="77777777" w:rsidR="002E375E" w:rsidRPr="007B4F45" w:rsidRDefault="002E375E" w:rsidP="00F13516">
            <w:pPr>
              <w:spacing w:line="276" w:lineRule="auto"/>
              <w:jc w:val="center"/>
              <w:rPr>
                <w:rFonts w:ascii="Arial" w:hAnsi="Arial" w:cs="Arial"/>
              </w:rPr>
            </w:pPr>
            <w:r w:rsidRPr="007B4F45">
              <w:rPr>
                <w:rFonts w:ascii="Arial" w:hAnsi="Arial" w:cs="Arial"/>
              </w:rPr>
              <w:t>£1,500</w:t>
            </w:r>
          </w:p>
        </w:tc>
      </w:tr>
      <w:tr w:rsidR="002E375E" w:rsidRPr="007B4F45" w14:paraId="3F199EF0" w14:textId="77777777" w:rsidTr="00F13516">
        <w:trPr>
          <w:trHeight w:val="554"/>
        </w:trPr>
        <w:tc>
          <w:tcPr>
            <w:tcW w:w="2230" w:type="dxa"/>
            <w:tcBorders>
              <w:top w:val="single" w:sz="2" w:space="0" w:color="auto"/>
              <w:left w:val="single" w:sz="8" w:space="0" w:color="auto"/>
              <w:bottom w:val="single" w:sz="8" w:space="0" w:color="auto"/>
              <w:right w:val="single" w:sz="2" w:space="0" w:color="auto"/>
            </w:tcBorders>
            <w:shd w:val="clear" w:color="auto" w:fill="FFFFCC"/>
            <w:vAlign w:val="center"/>
          </w:tcPr>
          <w:p w14:paraId="6AF38567" w14:textId="77777777" w:rsidR="002E375E" w:rsidRPr="007B4F45" w:rsidRDefault="002E375E" w:rsidP="00F13516">
            <w:pPr>
              <w:spacing w:line="276" w:lineRule="auto"/>
              <w:jc w:val="center"/>
              <w:rPr>
                <w:rFonts w:ascii="Arial" w:hAnsi="Arial" w:cs="Arial"/>
              </w:rPr>
            </w:pPr>
            <w:r w:rsidRPr="007B4F45">
              <w:rPr>
                <w:rFonts w:ascii="Arial" w:hAnsi="Arial" w:cs="Arial"/>
              </w:rPr>
              <w:t>Low culpability</w:t>
            </w:r>
          </w:p>
        </w:tc>
        <w:tc>
          <w:tcPr>
            <w:tcW w:w="2539" w:type="dxa"/>
            <w:tcBorders>
              <w:top w:val="single" w:sz="2" w:space="0" w:color="auto"/>
              <w:left w:val="single" w:sz="2" w:space="0" w:color="auto"/>
              <w:bottom w:val="single" w:sz="8" w:space="0" w:color="auto"/>
              <w:right w:val="single" w:sz="2" w:space="0" w:color="auto"/>
            </w:tcBorders>
            <w:shd w:val="clear" w:color="auto" w:fill="FFFFCC"/>
            <w:vAlign w:val="center"/>
          </w:tcPr>
          <w:p w14:paraId="1B51B42F" w14:textId="77777777" w:rsidR="002E375E" w:rsidRPr="007B4F45" w:rsidRDefault="002E375E" w:rsidP="00F13516">
            <w:pPr>
              <w:spacing w:line="276" w:lineRule="auto"/>
              <w:jc w:val="center"/>
              <w:rPr>
                <w:rFonts w:ascii="Arial" w:hAnsi="Arial" w:cs="Arial"/>
              </w:rPr>
            </w:pPr>
            <w:r w:rsidRPr="007B4F45">
              <w:rPr>
                <w:rFonts w:ascii="Arial" w:hAnsi="Arial" w:cs="Arial"/>
              </w:rPr>
              <w:t>£1,250</w:t>
            </w:r>
          </w:p>
        </w:tc>
        <w:tc>
          <w:tcPr>
            <w:tcW w:w="2539" w:type="dxa"/>
            <w:tcBorders>
              <w:top w:val="single" w:sz="2" w:space="0" w:color="auto"/>
              <w:left w:val="single" w:sz="2" w:space="0" w:color="auto"/>
              <w:bottom w:val="single" w:sz="8" w:space="0" w:color="auto"/>
              <w:right w:val="single" w:sz="2" w:space="0" w:color="auto"/>
            </w:tcBorders>
            <w:shd w:val="clear" w:color="auto" w:fill="FFFFCC"/>
            <w:vAlign w:val="center"/>
          </w:tcPr>
          <w:p w14:paraId="287A3AFA" w14:textId="77777777" w:rsidR="002E375E" w:rsidRPr="007B4F45" w:rsidRDefault="002E375E" w:rsidP="00F13516">
            <w:pPr>
              <w:spacing w:line="276" w:lineRule="auto"/>
              <w:jc w:val="center"/>
              <w:rPr>
                <w:rFonts w:ascii="Arial" w:hAnsi="Arial" w:cs="Arial"/>
              </w:rPr>
            </w:pPr>
            <w:r w:rsidRPr="007B4F45">
              <w:rPr>
                <w:rFonts w:ascii="Arial" w:hAnsi="Arial" w:cs="Arial"/>
              </w:rPr>
              <w:t>£1,000</w:t>
            </w:r>
          </w:p>
        </w:tc>
        <w:tc>
          <w:tcPr>
            <w:tcW w:w="2539" w:type="dxa"/>
            <w:tcBorders>
              <w:top w:val="single" w:sz="2" w:space="0" w:color="auto"/>
              <w:left w:val="single" w:sz="2" w:space="0" w:color="auto"/>
              <w:bottom w:val="single" w:sz="8" w:space="0" w:color="auto"/>
              <w:right w:val="single" w:sz="2" w:space="0" w:color="auto"/>
            </w:tcBorders>
            <w:shd w:val="clear" w:color="auto" w:fill="FFFFCC"/>
            <w:vAlign w:val="center"/>
          </w:tcPr>
          <w:p w14:paraId="743562BB" w14:textId="77777777" w:rsidR="002E375E" w:rsidRPr="007B4F45" w:rsidRDefault="002E375E" w:rsidP="00F13516">
            <w:pPr>
              <w:spacing w:line="276" w:lineRule="auto"/>
              <w:jc w:val="center"/>
              <w:rPr>
                <w:rFonts w:ascii="Arial" w:hAnsi="Arial" w:cs="Arial"/>
              </w:rPr>
            </w:pPr>
            <w:r w:rsidRPr="007B4F45">
              <w:rPr>
                <w:rFonts w:ascii="Arial" w:hAnsi="Arial" w:cs="Arial"/>
              </w:rPr>
              <w:t>£750</w:t>
            </w:r>
          </w:p>
        </w:tc>
      </w:tr>
    </w:tbl>
    <w:p w14:paraId="2D4B708D" w14:textId="77777777" w:rsidR="002E375E" w:rsidRDefault="002E375E" w:rsidP="007E0D2B">
      <w:pPr>
        <w:pStyle w:val="EHRBodytext"/>
      </w:pPr>
    </w:p>
    <w:p w14:paraId="709B815F" w14:textId="35499192" w:rsidR="002E375E" w:rsidRDefault="007B4F45" w:rsidP="002E375E">
      <w:pPr>
        <w:pStyle w:val="EHRBodytext"/>
      </w:pPr>
      <w:r w:rsidRPr="007B4F45">
        <w:rPr>
          <w:b/>
          <w:bCs/>
        </w:rPr>
        <w:t>Table 2</w:t>
      </w:r>
      <w:r>
        <w:tab/>
      </w:r>
      <w:r w:rsidR="002E375E">
        <w:t>Landlord/Property agent with 11 – 30 properties (income/asset value of up to approx. £100K per annum/£2million)</w:t>
      </w:r>
    </w:p>
    <w:tbl>
      <w:tblPr>
        <w:tblStyle w:val="TableGrid"/>
        <w:tblpPr w:leftFromText="180" w:rightFromText="180" w:vertAnchor="text" w:horzAnchor="margin" w:tblpXSpec="center" w:tblpY="181"/>
        <w:tblW w:w="9847" w:type="dxa"/>
        <w:tblLayout w:type="fixed"/>
        <w:tblLook w:val="04A0" w:firstRow="1" w:lastRow="0" w:firstColumn="1" w:lastColumn="0" w:noHBand="0" w:noVBand="1"/>
        <w:tblCaption w:val="The below indicates the starting point for the penalty in relation to the category of the offence and the level of impact."/>
        <w:tblDescription w:val="The below indicates the starting point for the penalty in relation to the category of the offence and the level of impact. Deliberate acts carry the highest level of fine, followed by Reckless, Negligent and Low culpability. Each Catergory of offence is then defined by the seriousness of the impact on those affected. Level 1 is a major impact, level 2 is a serious impact and level 3 is a minor impact. A deliberate offence with a major impact will receive the highest possible penalty of £30,000."/>
      </w:tblPr>
      <w:tblGrid>
        <w:gridCol w:w="2230"/>
        <w:gridCol w:w="2539"/>
        <w:gridCol w:w="2539"/>
        <w:gridCol w:w="2539"/>
      </w:tblGrid>
      <w:tr w:rsidR="002E375E" w:rsidRPr="007B4F45" w14:paraId="46E90069" w14:textId="77777777" w:rsidTr="00F13516">
        <w:trPr>
          <w:trHeight w:val="560"/>
          <w:tblHeader/>
        </w:trPr>
        <w:tc>
          <w:tcPr>
            <w:tcW w:w="2230" w:type="dxa"/>
            <w:shd w:val="clear" w:color="auto" w:fill="E2EFD9" w:themeFill="accent6" w:themeFillTint="33"/>
            <w:vAlign w:val="center"/>
          </w:tcPr>
          <w:p w14:paraId="07FC37CE" w14:textId="77777777" w:rsidR="002E375E" w:rsidRPr="007B4F45" w:rsidRDefault="002E375E" w:rsidP="00F13516">
            <w:pPr>
              <w:spacing w:line="276" w:lineRule="auto"/>
              <w:jc w:val="center"/>
              <w:rPr>
                <w:rFonts w:ascii="Arial" w:hAnsi="Arial" w:cs="Arial"/>
              </w:rPr>
            </w:pPr>
            <w:r w:rsidRPr="007B4F45">
              <w:rPr>
                <w:rFonts w:ascii="Arial" w:hAnsi="Arial" w:cs="Arial"/>
                <w:b/>
              </w:rPr>
              <w:t>Category of offence</w:t>
            </w:r>
          </w:p>
        </w:tc>
        <w:tc>
          <w:tcPr>
            <w:tcW w:w="2539" w:type="dxa"/>
            <w:shd w:val="clear" w:color="auto" w:fill="E2EFD9" w:themeFill="accent6" w:themeFillTint="33"/>
            <w:vAlign w:val="center"/>
          </w:tcPr>
          <w:p w14:paraId="71F58E35" w14:textId="77777777" w:rsidR="002E375E" w:rsidRPr="007B4F45" w:rsidRDefault="002E375E" w:rsidP="00F13516">
            <w:pPr>
              <w:spacing w:line="276" w:lineRule="auto"/>
              <w:jc w:val="center"/>
              <w:rPr>
                <w:rFonts w:ascii="Arial" w:hAnsi="Arial" w:cs="Arial"/>
              </w:rPr>
            </w:pPr>
            <w:r w:rsidRPr="007B4F45">
              <w:rPr>
                <w:rFonts w:ascii="Arial" w:hAnsi="Arial" w:cs="Arial"/>
                <w:b/>
              </w:rPr>
              <w:t>level 1 – Major impact</w:t>
            </w:r>
          </w:p>
        </w:tc>
        <w:tc>
          <w:tcPr>
            <w:tcW w:w="2539" w:type="dxa"/>
            <w:shd w:val="clear" w:color="auto" w:fill="E2EFD9" w:themeFill="accent6" w:themeFillTint="33"/>
            <w:vAlign w:val="center"/>
          </w:tcPr>
          <w:p w14:paraId="745D862E" w14:textId="77777777" w:rsidR="002E375E" w:rsidRPr="007B4F45" w:rsidRDefault="002E375E" w:rsidP="00F13516">
            <w:pPr>
              <w:spacing w:line="276" w:lineRule="auto"/>
              <w:jc w:val="center"/>
              <w:rPr>
                <w:rFonts w:ascii="Arial" w:hAnsi="Arial" w:cs="Arial"/>
              </w:rPr>
            </w:pPr>
            <w:r w:rsidRPr="007B4F45">
              <w:rPr>
                <w:rFonts w:ascii="Arial" w:hAnsi="Arial" w:cs="Arial"/>
                <w:b/>
              </w:rPr>
              <w:t>Level 2 – Serious impact</w:t>
            </w:r>
          </w:p>
        </w:tc>
        <w:tc>
          <w:tcPr>
            <w:tcW w:w="2539" w:type="dxa"/>
            <w:shd w:val="clear" w:color="auto" w:fill="E2EFD9" w:themeFill="accent6" w:themeFillTint="33"/>
            <w:vAlign w:val="center"/>
          </w:tcPr>
          <w:p w14:paraId="42F18786" w14:textId="77777777" w:rsidR="002E375E" w:rsidRPr="007B4F45" w:rsidRDefault="002E375E" w:rsidP="00F13516">
            <w:pPr>
              <w:spacing w:line="276" w:lineRule="auto"/>
              <w:jc w:val="center"/>
              <w:rPr>
                <w:rFonts w:ascii="Arial" w:hAnsi="Arial" w:cs="Arial"/>
              </w:rPr>
            </w:pPr>
            <w:r w:rsidRPr="007B4F45">
              <w:rPr>
                <w:rFonts w:ascii="Arial" w:hAnsi="Arial" w:cs="Arial"/>
                <w:b/>
              </w:rPr>
              <w:t>Level 3 – Minor impact</w:t>
            </w:r>
          </w:p>
        </w:tc>
      </w:tr>
      <w:tr w:rsidR="002E375E" w:rsidRPr="007B4F45" w14:paraId="6AB5166A" w14:textId="77777777" w:rsidTr="00F13516">
        <w:trPr>
          <w:trHeight w:val="560"/>
        </w:trPr>
        <w:tc>
          <w:tcPr>
            <w:tcW w:w="2230" w:type="dxa"/>
            <w:tcBorders>
              <w:top w:val="single" w:sz="8" w:space="0" w:color="auto"/>
              <w:left w:val="single" w:sz="8" w:space="0" w:color="auto"/>
            </w:tcBorders>
            <w:shd w:val="clear" w:color="auto" w:fill="E2EFD9" w:themeFill="accent6" w:themeFillTint="33"/>
            <w:vAlign w:val="center"/>
          </w:tcPr>
          <w:p w14:paraId="73C1A916" w14:textId="77777777" w:rsidR="002E375E" w:rsidRPr="007B4F45" w:rsidRDefault="002E375E" w:rsidP="00F13516">
            <w:pPr>
              <w:spacing w:line="276" w:lineRule="auto"/>
              <w:jc w:val="center"/>
              <w:rPr>
                <w:rFonts w:ascii="Arial" w:hAnsi="Arial" w:cs="Arial"/>
              </w:rPr>
            </w:pPr>
            <w:r w:rsidRPr="007B4F45">
              <w:rPr>
                <w:rFonts w:ascii="Arial" w:hAnsi="Arial" w:cs="Arial"/>
              </w:rPr>
              <w:t>Deliberate</w:t>
            </w:r>
          </w:p>
        </w:tc>
        <w:tc>
          <w:tcPr>
            <w:tcW w:w="2539" w:type="dxa"/>
            <w:tcBorders>
              <w:top w:val="single" w:sz="8" w:space="0" w:color="auto"/>
            </w:tcBorders>
            <w:shd w:val="clear" w:color="auto" w:fill="E2EFD9" w:themeFill="accent6" w:themeFillTint="33"/>
            <w:vAlign w:val="center"/>
          </w:tcPr>
          <w:p w14:paraId="6780B53D" w14:textId="77777777" w:rsidR="002E375E" w:rsidRPr="007B4F45" w:rsidRDefault="002E375E" w:rsidP="00F13516">
            <w:pPr>
              <w:spacing w:line="276" w:lineRule="auto"/>
              <w:jc w:val="center"/>
              <w:rPr>
                <w:rFonts w:ascii="Arial" w:hAnsi="Arial" w:cs="Arial"/>
              </w:rPr>
            </w:pPr>
            <w:r w:rsidRPr="007B4F45">
              <w:rPr>
                <w:rFonts w:ascii="Arial" w:hAnsi="Arial" w:cs="Arial"/>
              </w:rPr>
              <w:t>£22,500</w:t>
            </w:r>
          </w:p>
        </w:tc>
        <w:tc>
          <w:tcPr>
            <w:tcW w:w="2539" w:type="dxa"/>
            <w:tcBorders>
              <w:top w:val="single" w:sz="8" w:space="0" w:color="auto"/>
            </w:tcBorders>
            <w:shd w:val="clear" w:color="auto" w:fill="E2EFD9" w:themeFill="accent6" w:themeFillTint="33"/>
            <w:vAlign w:val="center"/>
          </w:tcPr>
          <w:p w14:paraId="4FB5D5ED" w14:textId="77777777" w:rsidR="002E375E" w:rsidRPr="007B4F45" w:rsidRDefault="002E375E" w:rsidP="00F13516">
            <w:pPr>
              <w:spacing w:line="276" w:lineRule="auto"/>
              <w:jc w:val="center"/>
              <w:rPr>
                <w:rFonts w:ascii="Arial" w:hAnsi="Arial" w:cs="Arial"/>
              </w:rPr>
            </w:pPr>
            <w:r w:rsidRPr="007B4F45">
              <w:rPr>
                <w:rFonts w:ascii="Arial" w:hAnsi="Arial" w:cs="Arial"/>
              </w:rPr>
              <w:t>£20,000</w:t>
            </w:r>
          </w:p>
        </w:tc>
        <w:tc>
          <w:tcPr>
            <w:tcW w:w="2539" w:type="dxa"/>
            <w:tcBorders>
              <w:top w:val="single" w:sz="8" w:space="0" w:color="auto"/>
            </w:tcBorders>
            <w:shd w:val="clear" w:color="auto" w:fill="E2EFD9" w:themeFill="accent6" w:themeFillTint="33"/>
            <w:vAlign w:val="center"/>
          </w:tcPr>
          <w:p w14:paraId="0DDCCD1A" w14:textId="77777777" w:rsidR="002E375E" w:rsidRPr="007B4F45" w:rsidRDefault="002E375E" w:rsidP="00F13516">
            <w:pPr>
              <w:spacing w:line="276" w:lineRule="auto"/>
              <w:jc w:val="center"/>
              <w:rPr>
                <w:rFonts w:ascii="Arial" w:hAnsi="Arial" w:cs="Arial"/>
              </w:rPr>
            </w:pPr>
            <w:r w:rsidRPr="007B4F45">
              <w:rPr>
                <w:rFonts w:ascii="Arial" w:hAnsi="Arial" w:cs="Arial"/>
              </w:rPr>
              <w:t>£17,500</w:t>
            </w:r>
          </w:p>
        </w:tc>
      </w:tr>
      <w:tr w:rsidR="002E375E" w:rsidRPr="007B4F45" w14:paraId="32868AF4" w14:textId="77777777" w:rsidTr="00F13516">
        <w:trPr>
          <w:trHeight w:val="550"/>
        </w:trPr>
        <w:tc>
          <w:tcPr>
            <w:tcW w:w="2230" w:type="dxa"/>
            <w:shd w:val="clear" w:color="auto" w:fill="E2EFD9" w:themeFill="accent6" w:themeFillTint="33"/>
            <w:vAlign w:val="center"/>
          </w:tcPr>
          <w:p w14:paraId="4029D4A6" w14:textId="77777777" w:rsidR="002E375E" w:rsidRPr="007B4F45" w:rsidRDefault="002E375E" w:rsidP="00F13516">
            <w:pPr>
              <w:spacing w:line="276" w:lineRule="auto"/>
              <w:jc w:val="center"/>
              <w:rPr>
                <w:rFonts w:ascii="Arial" w:hAnsi="Arial" w:cs="Arial"/>
              </w:rPr>
            </w:pPr>
            <w:r w:rsidRPr="007B4F45">
              <w:rPr>
                <w:rFonts w:ascii="Arial" w:hAnsi="Arial" w:cs="Arial"/>
              </w:rPr>
              <w:t>Reckless</w:t>
            </w:r>
          </w:p>
        </w:tc>
        <w:tc>
          <w:tcPr>
            <w:tcW w:w="2539" w:type="dxa"/>
            <w:shd w:val="clear" w:color="auto" w:fill="E2EFD9" w:themeFill="accent6" w:themeFillTint="33"/>
            <w:vAlign w:val="center"/>
          </w:tcPr>
          <w:p w14:paraId="1FCFAC9D" w14:textId="77777777" w:rsidR="002E375E" w:rsidRPr="007B4F45" w:rsidRDefault="002E375E" w:rsidP="00F13516">
            <w:pPr>
              <w:spacing w:line="276" w:lineRule="auto"/>
              <w:jc w:val="center"/>
              <w:rPr>
                <w:rFonts w:ascii="Arial" w:hAnsi="Arial" w:cs="Arial"/>
              </w:rPr>
            </w:pPr>
            <w:r w:rsidRPr="007B4F45">
              <w:rPr>
                <w:rFonts w:ascii="Arial" w:hAnsi="Arial" w:cs="Arial"/>
              </w:rPr>
              <w:t>£17,500</w:t>
            </w:r>
          </w:p>
        </w:tc>
        <w:tc>
          <w:tcPr>
            <w:tcW w:w="2539" w:type="dxa"/>
            <w:shd w:val="clear" w:color="auto" w:fill="E2EFD9" w:themeFill="accent6" w:themeFillTint="33"/>
            <w:vAlign w:val="center"/>
          </w:tcPr>
          <w:p w14:paraId="7D1DC15F" w14:textId="77777777" w:rsidR="002E375E" w:rsidRPr="007B4F45" w:rsidRDefault="002E375E" w:rsidP="00F13516">
            <w:pPr>
              <w:spacing w:line="276" w:lineRule="auto"/>
              <w:jc w:val="center"/>
              <w:rPr>
                <w:rFonts w:ascii="Arial" w:hAnsi="Arial" w:cs="Arial"/>
              </w:rPr>
            </w:pPr>
            <w:r w:rsidRPr="007B4F45">
              <w:rPr>
                <w:rFonts w:ascii="Arial" w:hAnsi="Arial" w:cs="Arial"/>
              </w:rPr>
              <w:t>£15,000</w:t>
            </w:r>
          </w:p>
        </w:tc>
        <w:tc>
          <w:tcPr>
            <w:tcW w:w="2539" w:type="dxa"/>
            <w:shd w:val="clear" w:color="auto" w:fill="E2EFD9" w:themeFill="accent6" w:themeFillTint="33"/>
            <w:vAlign w:val="center"/>
          </w:tcPr>
          <w:p w14:paraId="79905E82" w14:textId="77777777" w:rsidR="002E375E" w:rsidRPr="007B4F45" w:rsidRDefault="002E375E" w:rsidP="00F13516">
            <w:pPr>
              <w:spacing w:line="276" w:lineRule="auto"/>
              <w:jc w:val="center"/>
              <w:rPr>
                <w:rFonts w:ascii="Arial" w:hAnsi="Arial" w:cs="Arial"/>
              </w:rPr>
            </w:pPr>
            <w:r w:rsidRPr="007B4F45">
              <w:rPr>
                <w:rFonts w:ascii="Arial" w:hAnsi="Arial" w:cs="Arial"/>
              </w:rPr>
              <w:t>£12,500</w:t>
            </w:r>
          </w:p>
        </w:tc>
      </w:tr>
      <w:tr w:rsidR="002E375E" w:rsidRPr="007B4F45" w14:paraId="34A7730F" w14:textId="77777777" w:rsidTr="00F13516">
        <w:trPr>
          <w:trHeight w:val="558"/>
        </w:trPr>
        <w:tc>
          <w:tcPr>
            <w:tcW w:w="2230" w:type="dxa"/>
            <w:tcBorders>
              <w:bottom w:val="single" w:sz="4" w:space="0" w:color="auto"/>
            </w:tcBorders>
            <w:shd w:val="clear" w:color="auto" w:fill="E2EFD9" w:themeFill="accent6" w:themeFillTint="33"/>
            <w:vAlign w:val="center"/>
          </w:tcPr>
          <w:p w14:paraId="6E8D7181" w14:textId="77777777" w:rsidR="002E375E" w:rsidRPr="007B4F45" w:rsidRDefault="002E375E" w:rsidP="00F13516">
            <w:pPr>
              <w:spacing w:line="276" w:lineRule="auto"/>
              <w:jc w:val="center"/>
              <w:rPr>
                <w:rFonts w:ascii="Arial" w:hAnsi="Arial" w:cs="Arial"/>
              </w:rPr>
            </w:pPr>
            <w:r w:rsidRPr="007B4F45">
              <w:rPr>
                <w:rFonts w:ascii="Arial" w:hAnsi="Arial" w:cs="Arial"/>
              </w:rPr>
              <w:t>Negligent</w:t>
            </w:r>
          </w:p>
        </w:tc>
        <w:tc>
          <w:tcPr>
            <w:tcW w:w="2539" w:type="dxa"/>
            <w:tcBorders>
              <w:bottom w:val="single" w:sz="4" w:space="0" w:color="auto"/>
            </w:tcBorders>
            <w:shd w:val="clear" w:color="auto" w:fill="E2EFD9" w:themeFill="accent6" w:themeFillTint="33"/>
            <w:vAlign w:val="center"/>
          </w:tcPr>
          <w:p w14:paraId="43484AEA" w14:textId="77777777" w:rsidR="002E375E" w:rsidRPr="007B4F45" w:rsidRDefault="002E375E" w:rsidP="00F13516">
            <w:pPr>
              <w:spacing w:line="276" w:lineRule="auto"/>
              <w:jc w:val="center"/>
              <w:rPr>
                <w:rFonts w:ascii="Arial" w:hAnsi="Arial" w:cs="Arial"/>
              </w:rPr>
            </w:pPr>
            <w:r w:rsidRPr="007B4F45">
              <w:rPr>
                <w:rFonts w:ascii="Arial" w:hAnsi="Arial" w:cs="Arial"/>
              </w:rPr>
              <w:t>£12,500</w:t>
            </w:r>
          </w:p>
        </w:tc>
        <w:tc>
          <w:tcPr>
            <w:tcW w:w="2539" w:type="dxa"/>
            <w:tcBorders>
              <w:bottom w:val="single" w:sz="4" w:space="0" w:color="auto"/>
            </w:tcBorders>
            <w:shd w:val="clear" w:color="auto" w:fill="E2EFD9" w:themeFill="accent6" w:themeFillTint="33"/>
            <w:vAlign w:val="center"/>
          </w:tcPr>
          <w:p w14:paraId="476EBFF6" w14:textId="77777777" w:rsidR="002E375E" w:rsidRPr="007B4F45" w:rsidRDefault="002E375E" w:rsidP="00F13516">
            <w:pPr>
              <w:spacing w:line="276" w:lineRule="auto"/>
              <w:jc w:val="center"/>
              <w:rPr>
                <w:rFonts w:ascii="Arial" w:hAnsi="Arial" w:cs="Arial"/>
              </w:rPr>
            </w:pPr>
            <w:r w:rsidRPr="007B4F45">
              <w:rPr>
                <w:rFonts w:ascii="Arial" w:hAnsi="Arial" w:cs="Arial"/>
              </w:rPr>
              <w:t>£10,000</w:t>
            </w:r>
          </w:p>
        </w:tc>
        <w:tc>
          <w:tcPr>
            <w:tcW w:w="2539" w:type="dxa"/>
            <w:tcBorders>
              <w:bottom w:val="single" w:sz="4" w:space="0" w:color="auto"/>
            </w:tcBorders>
            <w:shd w:val="clear" w:color="auto" w:fill="E2EFD9" w:themeFill="accent6" w:themeFillTint="33"/>
            <w:vAlign w:val="center"/>
          </w:tcPr>
          <w:p w14:paraId="7EC708BF" w14:textId="77777777" w:rsidR="002E375E" w:rsidRPr="007B4F45" w:rsidRDefault="002E375E" w:rsidP="00F13516">
            <w:pPr>
              <w:spacing w:line="276" w:lineRule="auto"/>
              <w:jc w:val="center"/>
              <w:rPr>
                <w:rFonts w:ascii="Arial" w:hAnsi="Arial" w:cs="Arial"/>
              </w:rPr>
            </w:pPr>
            <w:r w:rsidRPr="007B4F45">
              <w:rPr>
                <w:rFonts w:ascii="Arial" w:hAnsi="Arial" w:cs="Arial"/>
              </w:rPr>
              <w:t>£7,500</w:t>
            </w:r>
          </w:p>
        </w:tc>
      </w:tr>
      <w:tr w:rsidR="002E375E" w:rsidRPr="007B4F45" w14:paraId="2CD97AC0" w14:textId="77777777" w:rsidTr="00F13516">
        <w:trPr>
          <w:trHeight w:val="552"/>
        </w:trPr>
        <w:tc>
          <w:tcPr>
            <w:tcW w:w="2230" w:type="dxa"/>
            <w:tcBorders>
              <w:bottom w:val="single" w:sz="8" w:space="0" w:color="auto"/>
            </w:tcBorders>
            <w:shd w:val="clear" w:color="auto" w:fill="E2EFD9" w:themeFill="accent6" w:themeFillTint="33"/>
            <w:vAlign w:val="center"/>
          </w:tcPr>
          <w:p w14:paraId="16F5E10A" w14:textId="77777777" w:rsidR="002E375E" w:rsidRPr="007B4F45" w:rsidRDefault="002E375E" w:rsidP="00F13516">
            <w:pPr>
              <w:spacing w:line="276" w:lineRule="auto"/>
              <w:jc w:val="center"/>
              <w:rPr>
                <w:rFonts w:ascii="Arial" w:hAnsi="Arial" w:cs="Arial"/>
              </w:rPr>
            </w:pPr>
            <w:r w:rsidRPr="007B4F45">
              <w:rPr>
                <w:rFonts w:ascii="Arial" w:hAnsi="Arial" w:cs="Arial"/>
              </w:rPr>
              <w:t>Low culpability</w:t>
            </w:r>
          </w:p>
        </w:tc>
        <w:tc>
          <w:tcPr>
            <w:tcW w:w="2539" w:type="dxa"/>
            <w:tcBorders>
              <w:bottom w:val="single" w:sz="8" w:space="0" w:color="auto"/>
            </w:tcBorders>
            <w:shd w:val="clear" w:color="auto" w:fill="E2EFD9" w:themeFill="accent6" w:themeFillTint="33"/>
            <w:vAlign w:val="center"/>
          </w:tcPr>
          <w:p w14:paraId="71C70742" w14:textId="77777777" w:rsidR="002E375E" w:rsidRPr="007B4F45" w:rsidRDefault="002E375E" w:rsidP="00F13516">
            <w:pPr>
              <w:spacing w:line="276" w:lineRule="auto"/>
              <w:jc w:val="center"/>
              <w:rPr>
                <w:rFonts w:ascii="Arial" w:hAnsi="Arial" w:cs="Arial"/>
              </w:rPr>
            </w:pPr>
            <w:r w:rsidRPr="007B4F45">
              <w:rPr>
                <w:rFonts w:ascii="Arial" w:hAnsi="Arial" w:cs="Arial"/>
              </w:rPr>
              <w:t>£7,500</w:t>
            </w:r>
          </w:p>
        </w:tc>
        <w:tc>
          <w:tcPr>
            <w:tcW w:w="2539" w:type="dxa"/>
            <w:tcBorders>
              <w:bottom w:val="single" w:sz="8" w:space="0" w:color="auto"/>
            </w:tcBorders>
            <w:shd w:val="clear" w:color="auto" w:fill="E2EFD9" w:themeFill="accent6" w:themeFillTint="33"/>
            <w:vAlign w:val="center"/>
          </w:tcPr>
          <w:p w14:paraId="7B6E6BE1" w14:textId="77777777" w:rsidR="002E375E" w:rsidRPr="007B4F45" w:rsidRDefault="002E375E" w:rsidP="00F13516">
            <w:pPr>
              <w:spacing w:line="276" w:lineRule="auto"/>
              <w:jc w:val="center"/>
              <w:rPr>
                <w:rFonts w:ascii="Arial" w:hAnsi="Arial" w:cs="Arial"/>
              </w:rPr>
            </w:pPr>
            <w:r w:rsidRPr="007B4F45">
              <w:rPr>
                <w:rFonts w:ascii="Arial" w:hAnsi="Arial" w:cs="Arial"/>
              </w:rPr>
              <w:t>£5,000</w:t>
            </w:r>
          </w:p>
        </w:tc>
        <w:tc>
          <w:tcPr>
            <w:tcW w:w="2539" w:type="dxa"/>
            <w:tcBorders>
              <w:bottom w:val="single" w:sz="8" w:space="0" w:color="auto"/>
            </w:tcBorders>
            <w:shd w:val="clear" w:color="auto" w:fill="E2EFD9" w:themeFill="accent6" w:themeFillTint="33"/>
            <w:vAlign w:val="center"/>
          </w:tcPr>
          <w:p w14:paraId="562D8F26" w14:textId="77777777" w:rsidR="002E375E" w:rsidRPr="007B4F45" w:rsidRDefault="002E375E" w:rsidP="00F13516">
            <w:pPr>
              <w:spacing w:line="276" w:lineRule="auto"/>
              <w:jc w:val="center"/>
              <w:rPr>
                <w:rFonts w:ascii="Arial" w:hAnsi="Arial" w:cs="Arial"/>
              </w:rPr>
            </w:pPr>
            <w:r w:rsidRPr="007B4F45">
              <w:rPr>
                <w:rFonts w:ascii="Arial" w:hAnsi="Arial" w:cs="Arial"/>
              </w:rPr>
              <w:t>£2,500</w:t>
            </w:r>
          </w:p>
        </w:tc>
      </w:tr>
    </w:tbl>
    <w:p w14:paraId="692CC8A1" w14:textId="77777777" w:rsidR="002E375E" w:rsidRDefault="002E375E" w:rsidP="002E375E">
      <w:pPr>
        <w:pStyle w:val="EHRBodytext"/>
      </w:pPr>
    </w:p>
    <w:p w14:paraId="7E9FA28E" w14:textId="2A3CC3A7" w:rsidR="002E375E" w:rsidRDefault="007B4F45" w:rsidP="002E375E">
      <w:pPr>
        <w:pStyle w:val="EHRBodytext"/>
      </w:pPr>
      <w:r w:rsidRPr="007B4F45">
        <w:rPr>
          <w:b/>
          <w:bCs/>
        </w:rPr>
        <w:t>Table 3</w:t>
      </w:r>
      <w:r>
        <w:t xml:space="preserve"> </w:t>
      </w:r>
      <w:r>
        <w:tab/>
      </w:r>
      <w:r w:rsidR="002E375E" w:rsidRPr="002E375E">
        <w:t xml:space="preserve">Landlord/Property agent with 31+ properties (income/asset value </w:t>
      </w:r>
      <w:proofErr w:type="gramStart"/>
      <w:r w:rsidR="002E375E" w:rsidRPr="007B4F45">
        <w:rPr>
          <w:b/>
          <w:bCs/>
        </w:rPr>
        <w:t>in excess of</w:t>
      </w:r>
      <w:proofErr w:type="gramEnd"/>
      <w:r w:rsidR="002E375E" w:rsidRPr="002E375E">
        <w:t xml:space="preserve"> approx. £100K per annum/£2million)</w:t>
      </w:r>
    </w:p>
    <w:tbl>
      <w:tblPr>
        <w:tblStyle w:val="TableGrid"/>
        <w:tblpPr w:leftFromText="180" w:rightFromText="180" w:vertAnchor="text" w:horzAnchor="margin" w:tblpXSpec="center" w:tblpY="181"/>
        <w:tblW w:w="9847" w:type="dxa"/>
        <w:shd w:val="clear" w:color="auto" w:fill="D9E2F3" w:themeFill="accent5" w:themeFillTint="33"/>
        <w:tblLayout w:type="fixed"/>
        <w:tblLook w:val="04A0" w:firstRow="1" w:lastRow="0" w:firstColumn="1" w:lastColumn="0" w:noHBand="0" w:noVBand="1"/>
        <w:tblCaption w:val="The below indicates the starting point for the penalty in relation to the category of the offence and the level of impact."/>
        <w:tblDescription w:val="The below indicates the starting point for the penalty in relation to the category of the offence and the level of impact. Deliberate acts carry the highest level of fine, followed by Reckless, Negligent and Low culpability. Each Catergory of offence is then defined by the seriousness of the impact on those affected. Level 1 is a major impact, level 2 is a serious impact and level 3 is a minor impact. A deliberate offence with a major impact will receive the highest possible penalty of £30,000."/>
      </w:tblPr>
      <w:tblGrid>
        <w:gridCol w:w="2230"/>
        <w:gridCol w:w="2539"/>
        <w:gridCol w:w="2539"/>
        <w:gridCol w:w="2539"/>
      </w:tblGrid>
      <w:tr w:rsidR="002E375E" w:rsidRPr="007B4F45" w14:paraId="5E986DD5" w14:textId="77777777" w:rsidTr="0003750E">
        <w:trPr>
          <w:trHeight w:val="492"/>
          <w:tblHeader/>
        </w:trPr>
        <w:tc>
          <w:tcPr>
            <w:tcW w:w="2230" w:type="dxa"/>
            <w:tcBorders>
              <w:top w:val="single" w:sz="8" w:space="0" w:color="auto"/>
            </w:tcBorders>
            <w:shd w:val="clear" w:color="auto" w:fill="D9E2F3" w:themeFill="accent5" w:themeFillTint="33"/>
            <w:vAlign w:val="center"/>
          </w:tcPr>
          <w:p w14:paraId="5BB3341C" w14:textId="77777777" w:rsidR="002E375E" w:rsidRPr="007B4F45" w:rsidRDefault="002E375E" w:rsidP="00F13516">
            <w:pPr>
              <w:spacing w:line="276" w:lineRule="auto"/>
              <w:jc w:val="center"/>
              <w:rPr>
                <w:rFonts w:ascii="Arial" w:hAnsi="Arial" w:cs="Arial"/>
              </w:rPr>
            </w:pPr>
            <w:r w:rsidRPr="007B4F45">
              <w:rPr>
                <w:rFonts w:ascii="Arial" w:hAnsi="Arial" w:cs="Arial"/>
                <w:b/>
              </w:rPr>
              <w:lastRenderedPageBreak/>
              <w:t>Category of offence</w:t>
            </w:r>
          </w:p>
        </w:tc>
        <w:tc>
          <w:tcPr>
            <w:tcW w:w="2539" w:type="dxa"/>
            <w:tcBorders>
              <w:top w:val="single" w:sz="8" w:space="0" w:color="auto"/>
            </w:tcBorders>
            <w:shd w:val="clear" w:color="auto" w:fill="D9E2F3" w:themeFill="accent5" w:themeFillTint="33"/>
            <w:vAlign w:val="center"/>
          </w:tcPr>
          <w:p w14:paraId="04E2FF9A" w14:textId="77777777" w:rsidR="002E375E" w:rsidRPr="007B4F45" w:rsidRDefault="002E375E" w:rsidP="00F13516">
            <w:pPr>
              <w:spacing w:line="276" w:lineRule="auto"/>
              <w:jc w:val="center"/>
              <w:rPr>
                <w:rFonts w:ascii="Arial" w:hAnsi="Arial" w:cs="Arial"/>
              </w:rPr>
            </w:pPr>
            <w:r w:rsidRPr="007B4F45">
              <w:rPr>
                <w:rFonts w:ascii="Arial" w:hAnsi="Arial" w:cs="Arial"/>
                <w:b/>
              </w:rPr>
              <w:t>level 1 – Major impact</w:t>
            </w:r>
          </w:p>
        </w:tc>
        <w:tc>
          <w:tcPr>
            <w:tcW w:w="2539" w:type="dxa"/>
            <w:tcBorders>
              <w:top w:val="single" w:sz="8" w:space="0" w:color="auto"/>
            </w:tcBorders>
            <w:shd w:val="clear" w:color="auto" w:fill="D9E2F3" w:themeFill="accent5" w:themeFillTint="33"/>
            <w:vAlign w:val="center"/>
          </w:tcPr>
          <w:p w14:paraId="137459DD" w14:textId="77777777" w:rsidR="002E375E" w:rsidRPr="007B4F45" w:rsidRDefault="002E375E" w:rsidP="00F13516">
            <w:pPr>
              <w:spacing w:line="276" w:lineRule="auto"/>
              <w:jc w:val="center"/>
              <w:rPr>
                <w:rFonts w:ascii="Arial" w:hAnsi="Arial" w:cs="Arial"/>
              </w:rPr>
            </w:pPr>
            <w:r w:rsidRPr="007B4F45">
              <w:rPr>
                <w:rFonts w:ascii="Arial" w:hAnsi="Arial" w:cs="Arial"/>
                <w:b/>
              </w:rPr>
              <w:t>Level 2 – Serious impact</w:t>
            </w:r>
          </w:p>
        </w:tc>
        <w:tc>
          <w:tcPr>
            <w:tcW w:w="2539" w:type="dxa"/>
            <w:tcBorders>
              <w:top w:val="single" w:sz="8" w:space="0" w:color="auto"/>
            </w:tcBorders>
            <w:shd w:val="clear" w:color="auto" w:fill="D9E2F3" w:themeFill="accent5" w:themeFillTint="33"/>
            <w:vAlign w:val="center"/>
          </w:tcPr>
          <w:p w14:paraId="71A83F7C" w14:textId="77777777" w:rsidR="002E375E" w:rsidRPr="007B4F45" w:rsidRDefault="002E375E" w:rsidP="00F13516">
            <w:pPr>
              <w:spacing w:line="276" w:lineRule="auto"/>
              <w:jc w:val="center"/>
              <w:rPr>
                <w:rFonts w:ascii="Arial" w:hAnsi="Arial" w:cs="Arial"/>
              </w:rPr>
            </w:pPr>
            <w:r w:rsidRPr="007B4F45">
              <w:rPr>
                <w:rFonts w:ascii="Arial" w:hAnsi="Arial" w:cs="Arial"/>
                <w:b/>
              </w:rPr>
              <w:t>Level 3 – Minor impact</w:t>
            </w:r>
          </w:p>
        </w:tc>
      </w:tr>
      <w:tr w:rsidR="002E375E" w:rsidRPr="007B4F45" w14:paraId="14CBF443" w14:textId="77777777" w:rsidTr="0003750E">
        <w:trPr>
          <w:trHeight w:val="492"/>
        </w:trPr>
        <w:tc>
          <w:tcPr>
            <w:tcW w:w="2230" w:type="dxa"/>
            <w:tcBorders>
              <w:top w:val="single" w:sz="8" w:space="0" w:color="auto"/>
            </w:tcBorders>
            <w:shd w:val="clear" w:color="auto" w:fill="D9E2F3" w:themeFill="accent5" w:themeFillTint="33"/>
            <w:vAlign w:val="center"/>
          </w:tcPr>
          <w:p w14:paraId="18BA72E7" w14:textId="77777777" w:rsidR="002E375E" w:rsidRPr="007B4F45" w:rsidRDefault="002E375E" w:rsidP="00F13516">
            <w:pPr>
              <w:spacing w:line="276" w:lineRule="auto"/>
              <w:jc w:val="center"/>
              <w:rPr>
                <w:rFonts w:ascii="Arial" w:hAnsi="Arial" w:cs="Arial"/>
              </w:rPr>
            </w:pPr>
            <w:r w:rsidRPr="007B4F45">
              <w:rPr>
                <w:rFonts w:ascii="Arial" w:hAnsi="Arial" w:cs="Arial"/>
              </w:rPr>
              <w:t>Deliberate</w:t>
            </w:r>
          </w:p>
        </w:tc>
        <w:tc>
          <w:tcPr>
            <w:tcW w:w="2539" w:type="dxa"/>
            <w:tcBorders>
              <w:top w:val="single" w:sz="8" w:space="0" w:color="auto"/>
            </w:tcBorders>
            <w:shd w:val="clear" w:color="auto" w:fill="D9E2F3" w:themeFill="accent5" w:themeFillTint="33"/>
            <w:vAlign w:val="center"/>
          </w:tcPr>
          <w:p w14:paraId="43D6B852" w14:textId="77777777" w:rsidR="002E375E" w:rsidRPr="007B4F45" w:rsidRDefault="002E375E" w:rsidP="00F13516">
            <w:pPr>
              <w:spacing w:line="276" w:lineRule="auto"/>
              <w:jc w:val="center"/>
              <w:rPr>
                <w:rFonts w:ascii="Arial" w:hAnsi="Arial" w:cs="Arial"/>
              </w:rPr>
            </w:pPr>
            <w:r w:rsidRPr="007B4F45">
              <w:rPr>
                <w:rFonts w:ascii="Arial" w:hAnsi="Arial" w:cs="Arial"/>
              </w:rPr>
              <w:t>£40,000</w:t>
            </w:r>
          </w:p>
        </w:tc>
        <w:tc>
          <w:tcPr>
            <w:tcW w:w="2539" w:type="dxa"/>
            <w:tcBorders>
              <w:top w:val="single" w:sz="8" w:space="0" w:color="auto"/>
            </w:tcBorders>
            <w:shd w:val="clear" w:color="auto" w:fill="D9E2F3" w:themeFill="accent5" w:themeFillTint="33"/>
            <w:vAlign w:val="center"/>
          </w:tcPr>
          <w:p w14:paraId="1F6A08AB" w14:textId="77777777" w:rsidR="002E375E" w:rsidRPr="007B4F45" w:rsidRDefault="002E375E" w:rsidP="00F13516">
            <w:pPr>
              <w:spacing w:line="276" w:lineRule="auto"/>
              <w:jc w:val="center"/>
              <w:rPr>
                <w:rFonts w:ascii="Arial" w:hAnsi="Arial" w:cs="Arial"/>
              </w:rPr>
            </w:pPr>
            <w:r w:rsidRPr="007B4F45">
              <w:rPr>
                <w:rFonts w:ascii="Arial" w:hAnsi="Arial" w:cs="Arial"/>
              </w:rPr>
              <w:t>£25,000</w:t>
            </w:r>
          </w:p>
        </w:tc>
        <w:tc>
          <w:tcPr>
            <w:tcW w:w="2539" w:type="dxa"/>
            <w:tcBorders>
              <w:top w:val="single" w:sz="8" w:space="0" w:color="auto"/>
            </w:tcBorders>
            <w:shd w:val="clear" w:color="auto" w:fill="D9E2F3" w:themeFill="accent5" w:themeFillTint="33"/>
            <w:vAlign w:val="center"/>
          </w:tcPr>
          <w:p w14:paraId="41DB4AA8" w14:textId="77777777" w:rsidR="002E375E" w:rsidRPr="007B4F45" w:rsidRDefault="002E375E" w:rsidP="00F13516">
            <w:pPr>
              <w:spacing w:line="276" w:lineRule="auto"/>
              <w:jc w:val="center"/>
              <w:rPr>
                <w:rFonts w:ascii="Arial" w:hAnsi="Arial" w:cs="Arial"/>
              </w:rPr>
            </w:pPr>
            <w:r w:rsidRPr="007B4F45">
              <w:rPr>
                <w:rFonts w:ascii="Arial" w:hAnsi="Arial" w:cs="Arial"/>
              </w:rPr>
              <w:t>£22,500</w:t>
            </w:r>
          </w:p>
        </w:tc>
      </w:tr>
      <w:tr w:rsidR="002E375E" w:rsidRPr="007B4F45" w14:paraId="2EB67320" w14:textId="77777777" w:rsidTr="0003750E">
        <w:trPr>
          <w:trHeight w:val="553"/>
        </w:trPr>
        <w:tc>
          <w:tcPr>
            <w:tcW w:w="2230" w:type="dxa"/>
            <w:shd w:val="clear" w:color="auto" w:fill="D9E2F3" w:themeFill="accent5" w:themeFillTint="33"/>
            <w:vAlign w:val="center"/>
          </w:tcPr>
          <w:p w14:paraId="6F667106" w14:textId="77777777" w:rsidR="002E375E" w:rsidRPr="007B4F45" w:rsidRDefault="002E375E" w:rsidP="00F13516">
            <w:pPr>
              <w:spacing w:line="276" w:lineRule="auto"/>
              <w:jc w:val="center"/>
              <w:rPr>
                <w:rFonts w:ascii="Arial" w:hAnsi="Arial" w:cs="Arial"/>
              </w:rPr>
            </w:pPr>
            <w:r w:rsidRPr="007B4F45">
              <w:rPr>
                <w:rFonts w:ascii="Arial" w:hAnsi="Arial" w:cs="Arial"/>
              </w:rPr>
              <w:t>Reckless</w:t>
            </w:r>
          </w:p>
        </w:tc>
        <w:tc>
          <w:tcPr>
            <w:tcW w:w="2539" w:type="dxa"/>
            <w:shd w:val="clear" w:color="auto" w:fill="D9E2F3" w:themeFill="accent5" w:themeFillTint="33"/>
            <w:vAlign w:val="center"/>
          </w:tcPr>
          <w:p w14:paraId="480AE658" w14:textId="77777777" w:rsidR="002E375E" w:rsidRPr="007B4F45" w:rsidRDefault="002E375E" w:rsidP="00F13516">
            <w:pPr>
              <w:spacing w:line="276" w:lineRule="auto"/>
              <w:jc w:val="center"/>
              <w:rPr>
                <w:rFonts w:ascii="Arial" w:hAnsi="Arial" w:cs="Arial"/>
              </w:rPr>
            </w:pPr>
            <w:r w:rsidRPr="007B4F45">
              <w:rPr>
                <w:rFonts w:ascii="Arial" w:hAnsi="Arial" w:cs="Arial"/>
              </w:rPr>
              <w:t>£22,500</w:t>
            </w:r>
          </w:p>
        </w:tc>
        <w:tc>
          <w:tcPr>
            <w:tcW w:w="2539" w:type="dxa"/>
            <w:shd w:val="clear" w:color="auto" w:fill="D9E2F3" w:themeFill="accent5" w:themeFillTint="33"/>
            <w:vAlign w:val="center"/>
          </w:tcPr>
          <w:p w14:paraId="65339ED9" w14:textId="77777777" w:rsidR="002E375E" w:rsidRPr="007B4F45" w:rsidRDefault="002E375E" w:rsidP="00F13516">
            <w:pPr>
              <w:spacing w:line="276" w:lineRule="auto"/>
              <w:jc w:val="center"/>
              <w:rPr>
                <w:rFonts w:ascii="Arial" w:hAnsi="Arial" w:cs="Arial"/>
              </w:rPr>
            </w:pPr>
            <w:r w:rsidRPr="007B4F45">
              <w:rPr>
                <w:rFonts w:ascii="Arial" w:hAnsi="Arial" w:cs="Arial"/>
              </w:rPr>
              <w:t>£20,000</w:t>
            </w:r>
          </w:p>
        </w:tc>
        <w:tc>
          <w:tcPr>
            <w:tcW w:w="2539" w:type="dxa"/>
            <w:shd w:val="clear" w:color="auto" w:fill="D9E2F3" w:themeFill="accent5" w:themeFillTint="33"/>
            <w:vAlign w:val="center"/>
          </w:tcPr>
          <w:p w14:paraId="0861E5B8" w14:textId="77777777" w:rsidR="002E375E" w:rsidRPr="007B4F45" w:rsidRDefault="002E375E" w:rsidP="00F13516">
            <w:pPr>
              <w:spacing w:line="276" w:lineRule="auto"/>
              <w:jc w:val="center"/>
              <w:rPr>
                <w:rFonts w:ascii="Arial" w:hAnsi="Arial" w:cs="Arial"/>
              </w:rPr>
            </w:pPr>
            <w:r w:rsidRPr="007B4F45">
              <w:rPr>
                <w:rFonts w:ascii="Arial" w:hAnsi="Arial" w:cs="Arial"/>
              </w:rPr>
              <w:t>£17,500</w:t>
            </w:r>
          </w:p>
        </w:tc>
      </w:tr>
      <w:tr w:rsidR="002E375E" w:rsidRPr="007B4F45" w14:paraId="31460129" w14:textId="77777777" w:rsidTr="0003750E">
        <w:trPr>
          <w:trHeight w:val="561"/>
        </w:trPr>
        <w:tc>
          <w:tcPr>
            <w:tcW w:w="2230" w:type="dxa"/>
            <w:shd w:val="clear" w:color="auto" w:fill="D9E2F3" w:themeFill="accent5" w:themeFillTint="33"/>
            <w:vAlign w:val="center"/>
          </w:tcPr>
          <w:p w14:paraId="286B5DB4" w14:textId="77777777" w:rsidR="002E375E" w:rsidRPr="007B4F45" w:rsidRDefault="002E375E" w:rsidP="00F13516">
            <w:pPr>
              <w:spacing w:line="276" w:lineRule="auto"/>
              <w:jc w:val="center"/>
              <w:rPr>
                <w:rFonts w:ascii="Arial" w:hAnsi="Arial" w:cs="Arial"/>
              </w:rPr>
            </w:pPr>
            <w:r w:rsidRPr="007B4F45">
              <w:rPr>
                <w:rFonts w:ascii="Arial" w:hAnsi="Arial" w:cs="Arial"/>
              </w:rPr>
              <w:t>Negligent</w:t>
            </w:r>
          </w:p>
        </w:tc>
        <w:tc>
          <w:tcPr>
            <w:tcW w:w="2539" w:type="dxa"/>
            <w:shd w:val="clear" w:color="auto" w:fill="D9E2F3" w:themeFill="accent5" w:themeFillTint="33"/>
            <w:vAlign w:val="center"/>
          </w:tcPr>
          <w:p w14:paraId="39F69C61" w14:textId="77777777" w:rsidR="002E375E" w:rsidRPr="007B4F45" w:rsidRDefault="002E375E" w:rsidP="00F13516">
            <w:pPr>
              <w:spacing w:line="276" w:lineRule="auto"/>
              <w:jc w:val="center"/>
              <w:rPr>
                <w:rFonts w:ascii="Arial" w:hAnsi="Arial" w:cs="Arial"/>
              </w:rPr>
            </w:pPr>
            <w:r w:rsidRPr="007B4F45">
              <w:rPr>
                <w:rFonts w:ascii="Arial" w:hAnsi="Arial" w:cs="Arial"/>
              </w:rPr>
              <w:t>£17,500</w:t>
            </w:r>
          </w:p>
        </w:tc>
        <w:tc>
          <w:tcPr>
            <w:tcW w:w="2539" w:type="dxa"/>
            <w:shd w:val="clear" w:color="auto" w:fill="D9E2F3" w:themeFill="accent5" w:themeFillTint="33"/>
            <w:vAlign w:val="center"/>
          </w:tcPr>
          <w:p w14:paraId="44DA14D9" w14:textId="77777777" w:rsidR="002E375E" w:rsidRPr="007B4F45" w:rsidRDefault="002E375E" w:rsidP="00F13516">
            <w:pPr>
              <w:spacing w:line="276" w:lineRule="auto"/>
              <w:jc w:val="center"/>
              <w:rPr>
                <w:rFonts w:ascii="Arial" w:hAnsi="Arial" w:cs="Arial"/>
              </w:rPr>
            </w:pPr>
            <w:r w:rsidRPr="007B4F45">
              <w:rPr>
                <w:rFonts w:ascii="Arial" w:hAnsi="Arial" w:cs="Arial"/>
              </w:rPr>
              <w:t>£15,000</w:t>
            </w:r>
          </w:p>
        </w:tc>
        <w:tc>
          <w:tcPr>
            <w:tcW w:w="2539" w:type="dxa"/>
            <w:shd w:val="clear" w:color="auto" w:fill="D9E2F3" w:themeFill="accent5" w:themeFillTint="33"/>
            <w:vAlign w:val="center"/>
          </w:tcPr>
          <w:p w14:paraId="7D5E99FA" w14:textId="77777777" w:rsidR="002E375E" w:rsidRPr="007B4F45" w:rsidRDefault="002E375E" w:rsidP="00F13516">
            <w:pPr>
              <w:spacing w:line="276" w:lineRule="auto"/>
              <w:jc w:val="center"/>
              <w:rPr>
                <w:rFonts w:ascii="Arial" w:hAnsi="Arial" w:cs="Arial"/>
              </w:rPr>
            </w:pPr>
            <w:r w:rsidRPr="007B4F45">
              <w:rPr>
                <w:rFonts w:ascii="Arial" w:hAnsi="Arial" w:cs="Arial"/>
              </w:rPr>
              <w:t>£12,500</w:t>
            </w:r>
          </w:p>
        </w:tc>
      </w:tr>
      <w:tr w:rsidR="002E375E" w:rsidRPr="007B4F45" w14:paraId="297347DD" w14:textId="77777777" w:rsidTr="0003750E">
        <w:trPr>
          <w:trHeight w:val="554"/>
        </w:trPr>
        <w:tc>
          <w:tcPr>
            <w:tcW w:w="2230" w:type="dxa"/>
            <w:shd w:val="clear" w:color="auto" w:fill="D9E2F3" w:themeFill="accent5" w:themeFillTint="33"/>
            <w:vAlign w:val="center"/>
          </w:tcPr>
          <w:p w14:paraId="65A746C0" w14:textId="77777777" w:rsidR="002E375E" w:rsidRPr="007B4F45" w:rsidRDefault="002E375E" w:rsidP="00F13516">
            <w:pPr>
              <w:spacing w:line="276" w:lineRule="auto"/>
              <w:jc w:val="center"/>
              <w:rPr>
                <w:rFonts w:ascii="Arial" w:hAnsi="Arial" w:cs="Arial"/>
              </w:rPr>
            </w:pPr>
            <w:r w:rsidRPr="007B4F45">
              <w:rPr>
                <w:rFonts w:ascii="Arial" w:hAnsi="Arial" w:cs="Arial"/>
              </w:rPr>
              <w:t>Low culpability</w:t>
            </w:r>
          </w:p>
        </w:tc>
        <w:tc>
          <w:tcPr>
            <w:tcW w:w="2539" w:type="dxa"/>
            <w:shd w:val="clear" w:color="auto" w:fill="D9E2F3" w:themeFill="accent5" w:themeFillTint="33"/>
            <w:vAlign w:val="center"/>
          </w:tcPr>
          <w:p w14:paraId="5D52312E" w14:textId="77777777" w:rsidR="002E375E" w:rsidRPr="007B4F45" w:rsidRDefault="002E375E" w:rsidP="00F13516">
            <w:pPr>
              <w:spacing w:line="276" w:lineRule="auto"/>
              <w:jc w:val="center"/>
              <w:rPr>
                <w:rFonts w:ascii="Arial" w:hAnsi="Arial" w:cs="Arial"/>
              </w:rPr>
            </w:pPr>
            <w:r w:rsidRPr="007B4F45">
              <w:rPr>
                <w:rFonts w:ascii="Arial" w:hAnsi="Arial" w:cs="Arial"/>
              </w:rPr>
              <w:t>£12,500</w:t>
            </w:r>
          </w:p>
        </w:tc>
        <w:tc>
          <w:tcPr>
            <w:tcW w:w="2539" w:type="dxa"/>
            <w:shd w:val="clear" w:color="auto" w:fill="D9E2F3" w:themeFill="accent5" w:themeFillTint="33"/>
            <w:vAlign w:val="center"/>
          </w:tcPr>
          <w:p w14:paraId="35358E19" w14:textId="77777777" w:rsidR="002E375E" w:rsidRPr="007B4F45" w:rsidRDefault="002E375E" w:rsidP="00F13516">
            <w:pPr>
              <w:spacing w:line="276" w:lineRule="auto"/>
              <w:jc w:val="center"/>
              <w:rPr>
                <w:rFonts w:ascii="Arial" w:hAnsi="Arial" w:cs="Arial"/>
              </w:rPr>
            </w:pPr>
            <w:r w:rsidRPr="007B4F45">
              <w:rPr>
                <w:rFonts w:ascii="Arial" w:hAnsi="Arial" w:cs="Arial"/>
              </w:rPr>
              <w:t>£10,000</w:t>
            </w:r>
          </w:p>
        </w:tc>
        <w:tc>
          <w:tcPr>
            <w:tcW w:w="2539" w:type="dxa"/>
            <w:shd w:val="clear" w:color="auto" w:fill="D9E2F3" w:themeFill="accent5" w:themeFillTint="33"/>
            <w:vAlign w:val="center"/>
          </w:tcPr>
          <w:p w14:paraId="62992D7F" w14:textId="77777777" w:rsidR="002E375E" w:rsidRPr="007B4F45" w:rsidRDefault="002E375E" w:rsidP="00F13516">
            <w:pPr>
              <w:spacing w:line="276" w:lineRule="auto"/>
              <w:jc w:val="center"/>
              <w:rPr>
                <w:rFonts w:ascii="Arial" w:hAnsi="Arial" w:cs="Arial"/>
              </w:rPr>
            </w:pPr>
            <w:r w:rsidRPr="007B4F45">
              <w:rPr>
                <w:rFonts w:ascii="Arial" w:hAnsi="Arial" w:cs="Arial"/>
              </w:rPr>
              <w:t>£7,500</w:t>
            </w:r>
          </w:p>
        </w:tc>
      </w:tr>
    </w:tbl>
    <w:p w14:paraId="320AC129" w14:textId="77777777" w:rsidR="002E375E" w:rsidRDefault="002E375E" w:rsidP="002E375E">
      <w:pPr>
        <w:pStyle w:val="EHRBodytext"/>
      </w:pPr>
    </w:p>
    <w:p w14:paraId="608B141B" w14:textId="77777777" w:rsidR="007D6B34" w:rsidRPr="007D6B34" w:rsidRDefault="001400C7" w:rsidP="001400C7">
      <w:pPr>
        <w:pStyle w:val="EHRMajorheading"/>
        <w:rPr>
          <w:sz w:val="24"/>
        </w:rPr>
      </w:pPr>
      <w:bookmarkStart w:id="38" w:name="_Toc228375963"/>
      <w:r>
        <w:t>Exceptions to the Policy</w:t>
      </w:r>
      <w:bookmarkEnd w:id="38"/>
    </w:p>
    <w:p w14:paraId="6E3E4B55" w14:textId="17FAFBBD" w:rsidR="002E375E" w:rsidRDefault="007D6B34" w:rsidP="007D6B34">
      <w:pPr>
        <w:pStyle w:val="EHRBodytext"/>
        <w:ind w:left="720" w:hanging="720"/>
      </w:pPr>
      <w:r>
        <w:t xml:space="preserve">6.1 </w:t>
      </w:r>
      <w:r>
        <w:tab/>
      </w:r>
      <w:r w:rsidRPr="007D6B34">
        <w:t xml:space="preserve">In exceptional circumstances the </w:t>
      </w:r>
      <w:r w:rsidR="00A716C2">
        <w:t xml:space="preserve">Operations </w:t>
      </w:r>
      <w:r w:rsidRPr="007D6B34">
        <w:t xml:space="preserve">Manager in consultation with Legal Services may </w:t>
      </w:r>
      <w:proofErr w:type="gramStart"/>
      <w:r w:rsidRPr="007D6B34">
        <w:t>make a decision</w:t>
      </w:r>
      <w:proofErr w:type="gramEnd"/>
      <w:r w:rsidRPr="007D6B34">
        <w:t xml:space="preserve"> about a charge that is an exception to this policy. A record of this decision must be kept detailing the reasons and justification as to why an exemption should be applied in a particular case.  </w:t>
      </w:r>
      <w:r w:rsidR="002E375E">
        <w:br w:type="page"/>
      </w:r>
    </w:p>
    <w:p w14:paraId="11183172" w14:textId="70A652BB" w:rsidR="00BB1672" w:rsidRDefault="002E375E" w:rsidP="00DF5B50">
      <w:pPr>
        <w:pStyle w:val="EHRMajorheading"/>
        <w:numPr>
          <w:ilvl w:val="0"/>
          <w:numId w:val="0"/>
        </w:numPr>
        <w:ind w:left="1134" w:hanging="1134"/>
      </w:pPr>
      <w:bookmarkStart w:id="39" w:name="_Toc228375964"/>
      <w:r w:rsidRPr="002E375E">
        <w:lastRenderedPageBreak/>
        <w:t xml:space="preserve">APPENDIX 1 Maximum Financial </w:t>
      </w:r>
      <w:r>
        <w:t>P</w:t>
      </w:r>
      <w:r w:rsidRPr="002E375E">
        <w:t xml:space="preserve">enalty </w:t>
      </w:r>
      <w:r>
        <w:t>A</w:t>
      </w:r>
      <w:r w:rsidRPr="002E375E">
        <w:t>mounts</w:t>
      </w:r>
      <w:bookmarkEnd w:id="39"/>
    </w:p>
    <w:p w14:paraId="3C8036EA" w14:textId="77777777" w:rsidR="002E375E" w:rsidRPr="00B169F3" w:rsidRDefault="002E375E" w:rsidP="00623630">
      <w:pPr>
        <w:pStyle w:val="EHR-Sub-heading1"/>
        <w:numPr>
          <w:ilvl w:val="0"/>
          <w:numId w:val="0"/>
        </w:numPr>
        <w:ind w:left="1134" w:hanging="1134"/>
        <w:rPr>
          <w:lang w:eastAsia="en-GB"/>
        </w:rPr>
      </w:pPr>
      <w:bookmarkStart w:id="40" w:name="_Toc228375965"/>
      <w:r w:rsidRPr="00B169F3">
        <w:rPr>
          <w:lang w:eastAsia="en-GB"/>
        </w:rPr>
        <w:t>Renters’ Right Act 2025</w:t>
      </w:r>
      <w:bookmarkEnd w:id="40"/>
    </w:p>
    <w:tbl>
      <w:tblPr>
        <w:tblStyle w:val="TableGrid"/>
        <w:tblW w:w="9065" w:type="dxa"/>
        <w:tblLayout w:type="fixed"/>
        <w:tblLook w:val="04A0" w:firstRow="1" w:lastRow="0" w:firstColumn="1" w:lastColumn="0" w:noHBand="0" w:noVBand="1"/>
      </w:tblPr>
      <w:tblGrid>
        <w:gridCol w:w="3072"/>
        <w:gridCol w:w="5993"/>
      </w:tblGrid>
      <w:tr w:rsidR="002E375E" w:rsidRPr="00623630" w14:paraId="5F09C5C9" w14:textId="77777777" w:rsidTr="00F13516">
        <w:trPr>
          <w:trHeight w:val="404"/>
          <w:tblHeader/>
        </w:trPr>
        <w:tc>
          <w:tcPr>
            <w:tcW w:w="3072" w:type="dxa"/>
          </w:tcPr>
          <w:p w14:paraId="1DC7707F" w14:textId="77777777" w:rsidR="002E375E" w:rsidRPr="00623630" w:rsidRDefault="002E375E" w:rsidP="00F13516">
            <w:pPr>
              <w:rPr>
                <w:rFonts w:ascii="Arial" w:hAnsi="Arial" w:cs="Arial"/>
                <w:b/>
              </w:rPr>
            </w:pPr>
          </w:p>
        </w:tc>
        <w:tc>
          <w:tcPr>
            <w:tcW w:w="5993" w:type="dxa"/>
            <w:vAlign w:val="center"/>
          </w:tcPr>
          <w:p w14:paraId="0733888A" w14:textId="77777777" w:rsidR="002E375E" w:rsidRPr="00623630" w:rsidRDefault="002E375E" w:rsidP="00F13516">
            <w:pPr>
              <w:jc w:val="center"/>
              <w:rPr>
                <w:rFonts w:ascii="Arial" w:hAnsi="Arial" w:cs="Arial"/>
                <w:b/>
              </w:rPr>
            </w:pPr>
            <w:r w:rsidRPr="00623630">
              <w:rPr>
                <w:rFonts w:ascii="Arial" w:hAnsi="Arial" w:cs="Arial"/>
                <w:b/>
              </w:rPr>
              <w:t>Penalty</w:t>
            </w:r>
          </w:p>
        </w:tc>
      </w:tr>
      <w:tr w:rsidR="002E375E" w:rsidRPr="00623630" w14:paraId="2A40114F" w14:textId="77777777" w:rsidTr="00F13516">
        <w:trPr>
          <w:trHeight w:val="404"/>
        </w:trPr>
        <w:tc>
          <w:tcPr>
            <w:tcW w:w="3072" w:type="dxa"/>
          </w:tcPr>
          <w:p w14:paraId="14F59DF1" w14:textId="77777777" w:rsidR="002E375E" w:rsidRPr="00623630" w:rsidRDefault="002E375E" w:rsidP="00F13516">
            <w:pPr>
              <w:rPr>
                <w:rFonts w:ascii="Arial" w:hAnsi="Arial" w:cs="Arial"/>
                <w:bCs/>
              </w:rPr>
            </w:pPr>
            <w:r w:rsidRPr="00623630">
              <w:rPr>
                <w:rFonts w:ascii="Arial" w:hAnsi="Arial" w:cs="Arial"/>
                <w:bCs/>
              </w:rPr>
              <w:t>Breach</w:t>
            </w:r>
          </w:p>
        </w:tc>
        <w:tc>
          <w:tcPr>
            <w:tcW w:w="5993" w:type="dxa"/>
            <w:vAlign w:val="center"/>
          </w:tcPr>
          <w:p w14:paraId="2DB8EBF0" w14:textId="77777777" w:rsidR="002E375E" w:rsidRPr="00623630" w:rsidRDefault="002E375E" w:rsidP="00F13516">
            <w:pPr>
              <w:jc w:val="center"/>
              <w:rPr>
                <w:rFonts w:ascii="Arial" w:hAnsi="Arial" w:cs="Arial"/>
              </w:rPr>
            </w:pPr>
            <w:r w:rsidRPr="00623630">
              <w:rPr>
                <w:rFonts w:ascii="Arial" w:hAnsi="Arial" w:cs="Arial"/>
              </w:rPr>
              <w:t>Up to £7,000</w:t>
            </w:r>
          </w:p>
        </w:tc>
      </w:tr>
      <w:tr w:rsidR="002E375E" w:rsidRPr="00623630" w14:paraId="708030AD" w14:textId="77777777" w:rsidTr="00F13516">
        <w:trPr>
          <w:trHeight w:val="404"/>
        </w:trPr>
        <w:tc>
          <w:tcPr>
            <w:tcW w:w="3072" w:type="dxa"/>
          </w:tcPr>
          <w:p w14:paraId="76E4C33C" w14:textId="77777777" w:rsidR="002E375E" w:rsidRPr="00623630" w:rsidRDefault="002E375E" w:rsidP="00F13516">
            <w:pPr>
              <w:rPr>
                <w:rFonts w:ascii="Arial" w:hAnsi="Arial" w:cs="Arial"/>
                <w:bCs/>
              </w:rPr>
            </w:pPr>
            <w:r w:rsidRPr="00623630">
              <w:rPr>
                <w:rFonts w:ascii="Arial" w:hAnsi="Arial" w:cs="Arial"/>
                <w:bCs/>
              </w:rPr>
              <w:t>Offence</w:t>
            </w:r>
          </w:p>
        </w:tc>
        <w:tc>
          <w:tcPr>
            <w:tcW w:w="5993" w:type="dxa"/>
            <w:vAlign w:val="center"/>
          </w:tcPr>
          <w:p w14:paraId="4122D633" w14:textId="77777777" w:rsidR="002E375E" w:rsidRPr="00623630" w:rsidRDefault="002E375E" w:rsidP="00F13516">
            <w:pPr>
              <w:jc w:val="center"/>
              <w:rPr>
                <w:rFonts w:ascii="Arial" w:hAnsi="Arial" w:cs="Arial"/>
              </w:rPr>
            </w:pPr>
            <w:r w:rsidRPr="00623630">
              <w:rPr>
                <w:rFonts w:ascii="Arial" w:hAnsi="Arial" w:cs="Arial"/>
              </w:rPr>
              <w:t>Up to £40,000</w:t>
            </w:r>
          </w:p>
        </w:tc>
      </w:tr>
    </w:tbl>
    <w:p w14:paraId="5ED6B98C" w14:textId="170947C7" w:rsidR="002E375E" w:rsidRPr="00DA41C5" w:rsidRDefault="002E375E" w:rsidP="00623630">
      <w:pPr>
        <w:pStyle w:val="EHR-Sub-heading1"/>
        <w:numPr>
          <w:ilvl w:val="0"/>
          <w:numId w:val="0"/>
        </w:numPr>
        <w:ind w:left="1134" w:hanging="1134"/>
        <w:rPr>
          <w:bCs/>
          <w:color w:val="000000"/>
          <w:szCs w:val="36"/>
          <w:lang w:eastAsia="en-GB"/>
        </w:rPr>
      </w:pPr>
      <w:bookmarkStart w:id="41" w:name="_Toc227842222"/>
      <w:bookmarkStart w:id="42" w:name="_Toc228375966"/>
      <w:r w:rsidRPr="008E6A3A">
        <w:t>Financial penalties</w:t>
      </w:r>
      <w:bookmarkEnd w:id="41"/>
      <w:bookmarkEnd w:id="42"/>
    </w:p>
    <w:tbl>
      <w:tblPr>
        <w:tblStyle w:val="TableGrid"/>
        <w:tblW w:w="9065" w:type="dxa"/>
        <w:tblLayout w:type="fixed"/>
        <w:tblLook w:val="04A0" w:firstRow="1" w:lastRow="0" w:firstColumn="1" w:lastColumn="0" w:noHBand="0" w:noVBand="1"/>
        <w:tblCaption w:val="Financial (civil) penalties"/>
        <w:tblDescription w:val="Upper level of fines for Housing Act offences, electrical safety standards and breaching a banning order"/>
      </w:tblPr>
      <w:tblGrid>
        <w:gridCol w:w="3072"/>
        <w:gridCol w:w="5993"/>
      </w:tblGrid>
      <w:tr w:rsidR="002E375E" w:rsidRPr="00623630" w14:paraId="432CE1C7" w14:textId="77777777" w:rsidTr="00F13516">
        <w:trPr>
          <w:trHeight w:val="359"/>
          <w:tblHeader/>
        </w:trPr>
        <w:tc>
          <w:tcPr>
            <w:tcW w:w="3072" w:type="dxa"/>
          </w:tcPr>
          <w:p w14:paraId="6E990B27" w14:textId="77777777" w:rsidR="002E375E" w:rsidRPr="00623630" w:rsidRDefault="002E375E" w:rsidP="00F13516">
            <w:pPr>
              <w:rPr>
                <w:rFonts w:ascii="Arial" w:hAnsi="Arial" w:cs="Arial"/>
                <w:b/>
              </w:rPr>
            </w:pPr>
          </w:p>
        </w:tc>
        <w:tc>
          <w:tcPr>
            <w:tcW w:w="5993" w:type="dxa"/>
            <w:vAlign w:val="center"/>
          </w:tcPr>
          <w:p w14:paraId="004DC937" w14:textId="77777777" w:rsidR="002E375E" w:rsidRPr="00623630" w:rsidRDefault="002E375E" w:rsidP="00F13516">
            <w:pPr>
              <w:jc w:val="center"/>
              <w:rPr>
                <w:rFonts w:ascii="Arial" w:hAnsi="Arial" w:cs="Arial"/>
                <w:b/>
              </w:rPr>
            </w:pPr>
            <w:r w:rsidRPr="00623630">
              <w:rPr>
                <w:rFonts w:ascii="Arial" w:hAnsi="Arial" w:cs="Arial"/>
                <w:b/>
              </w:rPr>
              <w:t>Penalty</w:t>
            </w:r>
          </w:p>
        </w:tc>
      </w:tr>
      <w:tr w:rsidR="002E375E" w:rsidRPr="00623630" w14:paraId="58E9E317" w14:textId="77777777" w:rsidTr="00F13516">
        <w:trPr>
          <w:trHeight w:val="561"/>
        </w:trPr>
        <w:tc>
          <w:tcPr>
            <w:tcW w:w="3072" w:type="dxa"/>
            <w:vAlign w:val="center"/>
          </w:tcPr>
          <w:p w14:paraId="2BDE5BDF" w14:textId="77777777" w:rsidR="002E375E" w:rsidRPr="00623630" w:rsidRDefault="002E375E" w:rsidP="00F13516">
            <w:pPr>
              <w:rPr>
                <w:rFonts w:ascii="Arial" w:hAnsi="Arial" w:cs="Arial"/>
              </w:rPr>
            </w:pPr>
            <w:r w:rsidRPr="00623630">
              <w:rPr>
                <w:rFonts w:ascii="Arial" w:hAnsi="Arial" w:cs="Arial"/>
              </w:rPr>
              <w:t>Housing Act offences</w:t>
            </w:r>
          </w:p>
        </w:tc>
        <w:tc>
          <w:tcPr>
            <w:tcW w:w="5993" w:type="dxa"/>
            <w:vAlign w:val="center"/>
          </w:tcPr>
          <w:p w14:paraId="0C77544E" w14:textId="77777777" w:rsidR="002E375E" w:rsidRPr="00623630" w:rsidRDefault="002E375E" w:rsidP="00F13516">
            <w:pPr>
              <w:jc w:val="center"/>
              <w:rPr>
                <w:rFonts w:ascii="Arial" w:hAnsi="Arial" w:cs="Arial"/>
              </w:rPr>
            </w:pPr>
            <w:r w:rsidRPr="00623630">
              <w:rPr>
                <w:rFonts w:ascii="Arial" w:hAnsi="Arial" w:cs="Arial"/>
              </w:rPr>
              <w:t>Financial penalty as alternative to prosecution up to £40,000</w:t>
            </w:r>
          </w:p>
        </w:tc>
      </w:tr>
      <w:tr w:rsidR="002E375E" w:rsidRPr="00623630" w14:paraId="508185E3" w14:textId="77777777" w:rsidTr="00F13516">
        <w:trPr>
          <w:trHeight w:val="561"/>
        </w:trPr>
        <w:tc>
          <w:tcPr>
            <w:tcW w:w="3072" w:type="dxa"/>
            <w:vAlign w:val="center"/>
          </w:tcPr>
          <w:p w14:paraId="1FB9D062" w14:textId="77777777" w:rsidR="002E375E" w:rsidRPr="00623630" w:rsidRDefault="002E375E" w:rsidP="00F13516">
            <w:pPr>
              <w:rPr>
                <w:rFonts w:ascii="Arial" w:hAnsi="Arial" w:cs="Arial"/>
              </w:rPr>
            </w:pPr>
            <w:r w:rsidRPr="00623630">
              <w:rPr>
                <w:rFonts w:ascii="Arial" w:hAnsi="Arial" w:cs="Arial"/>
              </w:rPr>
              <w:t>Electrical Safety Standards</w:t>
            </w:r>
          </w:p>
        </w:tc>
        <w:tc>
          <w:tcPr>
            <w:tcW w:w="5993" w:type="dxa"/>
            <w:vAlign w:val="center"/>
          </w:tcPr>
          <w:p w14:paraId="367C1013" w14:textId="77777777" w:rsidR="002E375E" w:rsidRPr="00623630" w:rsidRDefault="002E375E" w:rsidP="00F13516">
            <w:pPr>
              <w:jc w:val="center"/>
              <w:rPr>
                <w:rFonts w:ascii="Arial" w:hAnsi="Arial" w:cs="Arial"/>
              </w:rPr>
            </w:pPr>
            <w:r w:rsidRPr="00623630">
              <w:rPr>
                <w:rFonts w:ascii="Arial" w:hAnsi="Arial" w:cs="Arial"/>
              </w:rPr>
              <w:t>Up to £40,000</w:t>
            </w:r>
          </w:p>
        </w:tc>
      </w:tr>
      <w:tr w:rsidR="002E375E" w:rsidRPr="00623630" w14:paraId="4BF861D4" w14:textId="77777777" w:rsidTr="00F13516">
        <w:trPr>
          <w:trHeight w:val="558"/>
        </w:trPr>
        <w:tc>
          <w:tcPr>
            <w:tcW w:w="3072" w:type="dxa"/>
            <w:vAlign w:val="center"/>
          </w:tcPr>
          <w:p w14:paraId="13FA3F44" w14:textId="77777777" w:rsidR="002E375E" w:rsidRPr="00623630" w:rsidRDefault="002E375E" w:rsidP="00F13516">
            <w:pPr>
              <w:rPr>
                <w:rFonts w:ascii="Arial" w:hAnsi="Arial" w:cs="Arial"/>
              </w:rPr>
            </w:pPr>
            <w:r w:rsidRPr="00623630">
              <w:rPr>
                <w:rFonts w:ascii="Arial" w:hAnsi="Arial" w:cs="Arial"/>
              </w:rPr>
              <w:t>Breach of a banning order</w:t>
            </w:r>
          </w:p>
        </w:tc>
        <w:tc>
          <w:tcPr>
            <w:tcW w:w="5993" w:type="dxa"/>
            <w:vAlign w:val="center"/>
          </w:tcPr>
          <w:p w14:paraId="0259D977" w14:textId="77777777" w:rsidR="002E375E" w:rsidRPr="00623630" w:rsidRDefault="002E375E" w:rsidP="00F13516">
            <w:pPr>
              <w:jc w:val="center"/>
              <w:rPr>
                <w:rFonts w:ascii="Arial" w:hAnsi="Arial" w:cs="Arial"/>
              </w:rPr>
            </w:pPr>
            <w:r w:rsidRPr="00623630">
              <w:rPr>
                <w:rFonts w:ascii="Arial" w:hAnsi="Arial" w:cs="Arial"/>
              </w:rPr>
              <w:t>Up to £40,000</w:t>
            </w:r>
          </w:p>
        </w:tc>
      </w:tr>
    </w:tbl>
    <w:p w14:paraId="7D3097F9" w14:textId="77777777" w:rsidR="002E375E" w:rsidRDefault="002E375E" w:rsidP="00623630">
      <w:pPr>
        <w:pStyle w:val="EHR-Sub-heading1"/>
        <w:numPr>
          <w:ilvl w:val="0"/>
          <w:numId w:val="0"/>
        </w:numPr>
        <w:ind w:left="1134" w:hanging="1134"/>
        <w:rPr>
          <w:rFonts w:eastAsia="Calibri"/>
        </w:rPr>
      </w:pPr>
      <w:bookmarkStart w:id="43" w:name="_Toc227842223"/>
      <w:bookmarkStart w:id="44" w:name="_Toc228375967"/>
      <w:r w:rsidRPr="00235777">
        <w:t>Smoke and carbon monoxide alarms</w:t>
      </w:r>
      <w:bookmarkEnd w:id="43"/>
      <w:bookmarkEnd w:id="44"/>
    </w:p>
    <w:tbl>
      <w:tblPr>
        <w:tblStyle w:val="TableGrid"/>
        <w:tblW w:w="9065" w:type="dxa"/>
        <w:tblLayout w:type="fixed"/>
        <w:tblLook w:val="04A0" w:firstRow="1" w:lastRow="0" w:firstColumn="1" w:lastColumn="0" w:noHBand="0" w:noVBand="1"/>
        <w:tblCaption w:val="Smoke and carbon monoxide alarms"/>
        <w:tblDescription w:val="Penalty for failing to comply with a remedial notice under these regualtions"/>
      </w:tblPr>
      <w:tblGrid>
        <w:gridCol w:w="3072"/>
        <w:gridCol w:w="5993"/>
      </w:tblGrid>
      <w:tr w:rsidR="002E375E" w:rsidRPr="00623630" w14:paraId="3FA3EF6B" w14:textId="77777777" w:rsidTr="00F13516">
        <w:trPr>
          <w:trHeight w:val="404"/>
          <w:tblHeader/>
        </w:trPr>
        <w:tc>
          <w:tcPr>
            <w:tcW w:w="3072" w:type="dxa"/>
          </w:tcPr>
          <w:p w14:paraId="4C432B96" w14:textId="77777777" w:rsidR="002E375E" w:rsidRPr="00623630" w:rsidRDefault="002E375E" w:rsidP="00F13516">
            <w:pPr>
              <w:rPr>
                <w:rFonts w:ascii="Arial" w:hAnsi="Arial" w:cs="Arial"/>
                <w:b/>
              </w:rPr>
            </w:pPr>
          </w:p>
        </w:tc>
        <w:tc>
          <w:tcPr>
            <w:tcW w:w="5993" w:type="dxa"/>
            <w:vAlign w:val="center"/>
          </w:tcPr>
          <w:p w14:paraId="47EBE458" w14:textId="77777777" w:rsidR="002E375E" w:rsidRPr="00623630" w:rsidRDefault="002E375E" w:rsidP="00F13516">
            <w:pPr>
              <w:jc w:val="center"/>
              <w:rPr>
                <w:rFonts w:ascii="Arial" w:hAnsi="Arial" w:cs="Arial"/>
                <w:b/>
              </w:rPr>
            </w:pPr>
            <w:r w:rsidRPr="00623630">
              <w:rPr>
                <w:rFonts w:ascii="Arial" w:hAnsi="Arial" w:cs="Arial"/>
                <w:b/>
              </w:rPr>
              <w:t>Penalty</w:t>
            </w:r>
          </w:p>
        </w:tc>
      </w:tr>
      <w:tr w:rsidR="002E375E" w:rsidRPr="00623630" w14:paraId="2654E84C" w14:textId="77777777" w:rsidTr="00F13516">
        <w:trPr>
          <w:trHeight w:val="404"/>
        </w:trPr>
        <w:tc>
          <w:tcPr>
            <w:tcW w:w="3072" w:type="dxa"/>
          </w:tcPr>
          <w:p w14:paraId="0F24A17C" w14:textId="77777777" w:rsidR="002E375E" w:rsidRPr="00623630" w:rsidRDefault="002E375E" w:rsidP="00F13516">
            <w:pPr>
              <w:rPr>
                <w:rFonts w:ascii="Arial" w:hAnsi="Arial" w:cs="Arial"/>
                <w:b/>
              </w:rPr>
            </w:pPr>
            <w:r w:rsidRPr="00623630">
              <w:rPr>
                <w:rFonts w:ascii="Arial" w:hAnsi="Arial" w:cs="Arial"/>
              </w:rPr>
              <w:t>Failing to comply with a remedial notice</w:t>
            </w:r>
          </w:p>
        </w:tc>
        <w:tc>
          <w:tcPr>
            <w:tcW w:w="5993" w:type="dxa"/>
            <w:vAlign w:val="center"/>
          </w:tcPr>
          <w:p w14:paraId="0B53BBB6" w14:textId="77777777" w:rsidR="002E375E" w:rsidRPr="00623630" w:rsidRDefault="002E375E" w:rsidP="00F13516">
            <w:pPr>
              <w:jc w:val="center"/>
              <w:rPr>
                <w:rFonts w:ascii="Arial" w:hAnsi="Arial" w:cs="Arial"/>
              </w:rPr>
            </w:pPr>
            <w:r w:rsidRPr="00623630">
              <w:rPr>
                <w:rFonts w:ascii="Arial" w:hAnsi="Arial" w:cs="Arial"/>
              </w:rPr>
              <w:t>£5000 reducing by 25% if paid within 14 days of demand</w:t>
            </w:r>
          </w:p>
        </w:tc>
      </w:tr>
    </w:tbl>
    <w:p w14:paraId="6685BCA7" w14:textId="77777777" w:rsidR="002E375E" w:rsidRDefault="002E375E" w:rsidP="00623630">
      <w:pPr>
        <w:pStyle w:val="EHR-Sub-heading1"/>
        <w:numPr>
          <w:ilvl w:val="0"/>
          <w:numId w:val="0"/>
        </w:numPr>
        <w:ind w:left="1134" w:hanging="1134"/>
      </w:pPr>
      <w:bookmarkStart w:id="45" w:name="_Toc227842224"/>
      <w:bookmarkStart w:id="46" w:name="_Toc228375968"/>
      <w:r>
        <w:t>Energy Efficiency Regulations</w:t>
      </w:r>
      <w:bookmarkEnd w:id="45"/>
      <w:bookmarkEnd w:id="46"/>
    </w:p>
    <w:tbl>
      <w:tblPr>
        <w:tblStyle w:val="TableGrid"/>
        <w:tblW w:w="9067" w:type="dxa"/>
        <w:tblLayout w:type="fixed"/>
        <w:tblLook w:val="04A0" w:firstRow="1" w:lastRow="0" w:firstColumn="1" w:lastColumn="0" w:noHBand="0" w:noVBand="1"/>
        <w:tblCaption w:val="Energy Efficiency Regulations"/>
        <w:tblDescription w:val="Table describes the various penalties under the Energy Efficiency Regulations"/>
      </w:tblPr>
      <w:tblGrid>
        <w:gridCol w:w="3072"/>
        <w:gridCol w:w="5995"/>
      </w:tblGrid>
      <w:tr w:rsidR="002E375E" w:rsidRPr="00623630" w14:paraId="427DDE19" w14:textId="77777777" w:rsidTr="00F13516">
        <w:trPr>
          <w:trHeight w:val="404"/>
          <w:tblHeader/>
        </w:trPr>
        <w:tc>
          <w:tcPr>
            <w:tcW w:w="3072" w:type="dxa"/>
          </w:tcPr>
          <w:p w14:paraId="33A345C2" w14:textId="77777777" w:rsidR="002E375E" w:rsidRPr="00623630" w:rsidRDefault="002E375E" w:rsidP="00F13516">
            <w:pPr>
              <w:rPr>
                <w:rFonts w:ascii="Arial" w:hAnsi="Arial" w:cs="Arial"/>
                <w:b/>
              </w:rPr>
            </w:pPr>
          </w:p>
        </w:tc>
        <w:tc>
          <w:tcPr>
            <w:tcW w:w="5995" w:type="dxa"/>
          </w:tcPr>
          <w:p w14:paraId="19B7FD51" w14:textId="77777777" w:rsidR="002E375E" w:rsidRPr="00623630" w:rsidRDefault="002E375E" w:rsidP="00F13516">
            <w:pPr>
              <w:jc w:val="center"/>
              <w:rPr>
                <w:rFonts w:ascii="Arial" w:hAnsi="Arial" w:cs="Arial"/>
                <w:b/>
              </w:rPr>
            </w:pPr>
            <w:r w:rsidRPr="00623630">
              <w:rPr>
                <w:rFonts w:ascii="Arial" w:hAnsi="Arial" w:cs="Arial"/>
                <w:b/>
              </w:rPr>
              <w:t>Penalty</w:t>
            </w:r>
          </w:p>
        </w:tc>
      </w:tr>
      <w:tr w:rsidR="002E375E" w:rsidRPr="00623630" w14:paraId="1115B4D4" w14:textId="77777777" w:rsidTr="00F13516">
        <w:trPr>
          <w:trHeight w:val="404"/>
          <w:tblHeader/>
        </w:trPr>
        <w:tc>
          <w:tcPr>
            <w:tcW w:w="3072" w:type="dxa"/>
          </w:tcPr>
          <w:p w14:paraId="71BE3E78" w14:textId="77777777" w:rsidR="002E375E" w:rsidRPr="00623630" w:rsidRDefault="002E375E" w:rsidP="00F13516">
            <w:pPr>
              <w:rPr>
                <w:rFonts w:ascii="Arial" w:hAnsi="Arial" w:cs="Arial"/>
              </w:rPr>
            </w:pPr>
            <w:r w:rsidRPr="00623630">
              <w:rPr>
                <w:rFonts w:ascii="Arial" w:hAnsi="Arial" w:cs="Arial"/>
              </w:rPr>
              <w:t>Renting out a non-compliant property - Less than three months in breach</w:t>
            </w:r>
          </w:p>
        </w:tc>
        <w:tc>
          <w:tcPr>
            <w:tcW w:w="5995" w:type="dxa"/>
          </w:tcPr>
          <w:p w14:paraId="2A6F762F" w14:textId="77777777" w:rsidR="002E375E" w:rsidRPr="00623630" w:rsidRDefault="002E375E" w:rsidP="00F13516">
            <w:pPr>
              <w:jc w:val="center"/>
              <w:rPr>
                <w:rFonts w:ascii="Arial" w:hAnsi="Arial" w:cs="Arial"/>
              </w:rPr>
            </w:pPr>
            <w:r w:rsidRPr="00623630">
              <w:rPr>
                <w:rFonts w:ascii="Arial" w:hAnsi="Arial" w:cs="Arial"/>
              </w:rPr>
              <w:t>£2000 and Publication penalty</w:t>
            </w:r>
          </w:p>
        </w:tc>
      </w:tr>
      <w:tr w:rsidR="002E375E" w:rsidRPr="00623630" w14:paraId="5EB3F40C" w14:textId="77777777" w:rsidTr="00F13516">
        <w:trPr>
          <w:trHeight w:val="404"/>
        </w:trPr>
        <w:tc>
          <w:tcPr>
            <w:tcW w:w="3072" w:type="dxa"/>
          </w:tcPr>
          <w:p w14:paraId="08C6F4FF" w14:textId="77777777" w:rsidR="002E375E" w:rsidRPr="00623630" w:rsidRDefault="002E375E" w:rsidP="00F13516">
            <w:pPr>
              <w:rPr>
                <w:rFonts w:ascii="Arial" w:hAnsi="Arial" w:cs="Arial"/>
              </w:rPr>
            </w:pPr>
            <w:r w:rsidRPr="00623630">
              <w:rPr>
                <w:rFonts w:ascii="Arial" w:hAnsi="Arial" w:cs="Arial"/>
              </w:rPr>
              <w:t>Renting out a non-compliant property - Three months or more in breach</w:t>
            </w:r>
          </w:p>
        </w:tc>
        <w:tc>
          <w:tcPr>
            <w:tcW w:w="5995" w:type="dxa"/>
          </w:tcPr>
          <w:p w14:paraId="53B19528" w14:textId="77777777" w:rsidR="002E375E" w:rsidRPr="00623630" w:rsidRDefault="002E375E" w:rsidP="00F13516">
            <w:pPr>
              <w:jc w:val="center"/>
              <w:rPr>
                <w:rFonts w:ascii="Arial" w:hAnsi="Arial" w:cs="Arial"/>
              </w:rPr>
            </w:pPr>
            <w:r w:rsidRPr="00623630">
              <w:rPr>
                <w:rFonts w:ascii="Arial" w:hAnsi="Arial" w:cs="Arial"/>
              </w:rPr>
              <w:t>£4000 and Publication penalty</w:t>
            </w:r>
          </w:p>
        </w:tc>
      </w:tr>
      <w:tr w:rsidR="002E375E" w:rsidRPr="00623630" w14:paraId="5DA6140F" w14:textId="77777777" w:rsidTr="00F13516">
        <w:trPr>
          <w:trHeight w:val="979"/>
        </w:trPr>
        <w:tc>
          <w:tcPr>
            <w:tcW w:w="3072" w:type="dxa"/>
            <w:vAlign w:val="center"/>
          </w:tcPr>
          <w:p w14:paraId="38A66C5E" w14:textId="77777777" w:rsidR="002E375E" w:rsidRPr="00623630" w:rsidRDefault="002E375E" w:rsidP="00F13516">
            <w:pPr>
              <w:rPr>
                <w:rFonts w:ascii="Arial" w:hAnsi="Arial" w:cs="Arial"/>
              </w:rPr>
            </w:pPr>
            <w:r w:rsidRPr="00623630">
              <w:rPr>
                <w:rFonts w:ascii="Arial" w:hAnsi="Arial" w:cs="Arial"/>
              </w:rPr>
              <w:t>Providing false or misleading information on the Exemption register</w:t>
            </w:r>
          </w:p>
        </w:tc>
        <w:tc>
          <w:tcPr>
            <w:tcW w:w="5995" w:type="dxa"/>
          </w:tcPr>
          <w:p w14:paraId="63981D3A" w14:textId="77777777" w:rsidR="002E375E" w:rsidRPr="00623630" w:rsidRDefault="002E375E" w:rsidP="00F13516">
            <w:pPr>
              <w:jc w:val="center"/>
              <w:rPr>
                <w:rFonts w:ascii="Arial" w:hAnsi="Arial" w:cs="Arial"/>
              </w:rPr>
            </w:pPr>
            <w:r w:rsidRPr="00623630">
              <w:rPr>
                <w:rFonts w:ascii="Arial" w:hAnsi="Arial" w:cs="Arial"/>
              </w:rPr>
              <w:t>£1000 and Publication penalty</w:t>
            </w:r>
          </w:p>
        </w:tc>
      </w:tr>
      <w:tr w:rsidR="002E375E" w:rsidRPr="00623630" w14:paraId="459D478E" w14:textId="77777777" w:rsidTr="00F13516">
        <w:trPr>
          <w:trHeight w:val="695"/>
        </w:trPr>
        <w:tc>
          <w:tcPr>
            <w:tcW w:w="3072" w:type="dxa"/>
            <w:vAlign w:val="center"/>
          </w:tcPr>
          <w:p w14:paraId="475C630F" w14:textId="77777777" w:rsidR="002E375E" w:rsidRPr="00623630" w:rsidRDefault="002E375E" w:rsidP="00F13516">
            <w:pPr>
              <w:rPr>
                <w:rFonts w:ascii="Arial" w:hAnsi="Arial" w:cs="Arial"/>
              </w:rPr>
            </w:pPr>
            <w:r w:rsidRPr="00623630">
              <w:rPr>
                <w:rFonts w:ascii="Arial" w:hAnsi="Arial" w:cs="Arial"/>
              </w:rPr>
              <w:t>Failing to comply with a compliance notice</w:t>
            </w:r>
          </w:p>
        </w:tc>
        <w:tc>
          <w:tcPr>
            <w:tcW w:w="5995" w:type="dxa"/>
          </w:tcPr>
          <w:p w14:paraId="3E510799" w14:textId="77777777" w:rsidR="002E375E" w:rsidRPr="00623630" w:rsidRDefault="002E375E" w:rsidP="00F13516">
            <w:pPr>
              <w:jc w:val="center"/>
              <w:rPr>
                <w:rFonts w:ascii="Arial" w:hAnsi="Arial" w:cs="Arial"/>
              </w:rPr>
            </w:pPr>
            <w:r w:rsidRPr="00623630">
              <w:rPr>
                <w:rFonts w:ascii="Arial" w:hAnsi="Arial" w:cs="Arial"/>
              </w:rPr>
              <w:t>£2000 and Publication penalty</w:t>
            </w:r>
          </w:p>
        </w:tc>
      </w:tr>
    </w:tbl>
    <w:p w14:paraId="3DCEFDA9" w14:textId="77777777" w:rsidR="002E375E" w:rsidRPr="00623630" w:rsidRDefault="002E375E" w:rsidP="00CE0E86">
      <w:pPr>
        <w:pStyle w:val="ListParagraph"/>
        <w:numPr>
          <w:ilvl w:val="0"/>
          <w:numId w:val="5"/>
        </w:numPr>
        <w:spacing w:after="0" w:line="240" w:lineRule="auto"/>
        <w:rPr>
          <w:rFonts w:ascii="Arial" w:hAnsi="Arial" w:cs="Arial"/>
        </w:rPr>
      </w:pPr>
      <w:r w:rsidRPr="00623630">
        <w:rPr>
          <w:rFonts w:ascii="Arial" w:hAnsi="Arial" w:cs="Arial"/>
        </w:rPr>
        <w:t>These penalties are applied to each property where there is a breach to a maximum of £5000 per property</w:t>
      </w:r>
    </w:p>
    <w:p w14:paraId="48E60586" w14:textId="77777777" w:rsidR="002E375E" w:rsidRPr="00623630" w:rsidRDefault="002E375E" w:rsidP="00CE0E86">
      <w:pPr>
        <w:pStyle w:val="ListParagraph"/>
        <w:numPr>
          <w:ilvl w:val="0"/>
          <w:numId w:val="5"/>
        </w:numPr>
        <w:spacing w:after="0" w:line="240" w:lineRule="auto"/>
        <w:rPr>
          <w:rFonts w:ascii="Arial" w:hAnsi="Arial" w:cs="Arial"/>
        </w:rPr>
      </w:pPr>
      <w:r w:rsidRPr="00623630">
        <w:rPr>
          <w:rFonts w:ascii="Arial" w:hAnsi="Arial" w:cs="Arial"/>
        </w:rPr>
        <w:t>Publication penalty – some of the details of the financial penalties are published on the publicly accessible part of the PRS Exemptions Register</w:t>
      </w:r>
    </w:p>
    <w:p w14:paraId="69A87733" w14:textId="77777777" w:rsidR="002E375E" w:rsidRDefault="002E375E" w:rsidP="00623630">
      <w:pPr>
        <w:pStyle w:val="EHR-Sub-heading1"/>
        <w:numPr>
          <w:ilvl w:val="0"/>
          <w:numId w:val="0"/>
        </w:numPr>
        <w:ind w:left="1134" w:hanging="1134"/>
      </w:pPr>
      <w:bookmarkStart w:id="47" w:name="_Toc227842225"/>
      <w:bookmarkStart w:id="48" w:name="_Toc228375969"/>
      <w:r w:rsidRPr="00894998">
        <w:lastRenderedPageBreak/>
        <w:t>Works with or without agreement (work in default)</w:t>
      </w:r>
      <w:bookmarkEnd w:id="47"/>
      <w:bookmarkEnd w:id="48"/>
    </w:p>
    <w:tbl>
      <w:tblPr>
        <w:tblStyle w:val="TableGrid"/>
        <w:tblW w:w="9065" w:type="dxa"/>
        <w:tblLayout w:type="fixed"/>
        <w:tblLook w:val="04A0" w:firstRow="1" w:lastRow="0" w:firstColumn="1" w:lastColumn="0" w:noHBand="0" w:noVBand="1"/>
        <w:tblCaption w:val="Works with or without agreement (work in default)"/>
        <w:tblDescription w:val="Charges applied where works are organised and carried out by the Council on behalf of a notice recipient whether this is with agreement or not."/>
      </w:tblPr>
      <w:tblGrid>
        <w:gridCol w:w="3072"/>
        <w:gridCol w:w="5993"/>
      </w:tblGrid>
      <w:tr w:rsidR="002E375E" w:rsidRPr="00623630" w14:paraId="13EDE8C9" w14:textId="77777777" w:rsidTr="00F13516">
        <w:trPr>
          <w:trHeight w:val="405"/>
          <w:tblHeader/>
        </w:trPr>
        <w:tc>
          <w:tcPr>
            <w:tcW w:w="3072" w:type="dxa"/>
          </w:tcPr>
          <w:p w14:paraId="7EF1D83C" w14:textId="77777777" w:rsidR="002E375E" w:rsidRPr="00623630" w:rsidRDefault="002E375E" w:rsidP="00F13516">
            <w:pPr>
              <w:rPr>
                <w:rFonts w:ascii="Arial" w:hAnsi="Arial" w:cs="Arial"/>
                <w:b/>
              </w:rPr>
            </w:pPr>
          </w:p>
        </w:tc>
        <w:tc>
          <w:tcPr>
            <w:tcW w:w="5993" w:type="dxa"/>
            <w:vAlign w:val="center"/>
          </w:tcPr>
          <w:p w14:paraId="1F01678A" w14:textId="77777777" w:rsidR="002E375E" w:rsidRPr="00623630" w:rsidRDefault="002E375E" w:rsidP="00F13516">
            <w:pPr>
              <w:jc w:val="center"/>
              <w:rPr>
                <w:rFonts w:ascii="Arial" w:hAnsi="Arial" w:cs="Arial"/>
                <w:b/>
              </w:rPr>
            </w:pPr>
            <w:r w:rsidRPr="00623630">
              <w:rPr>
                <w:rFonts w:ascii="Arial" w:hAnsi="Arial" w:cs="Arial"/>
                <w:b/>
              </w:rPr>
              <w:t>Charge</w:t>
            </w:r>
          </w:p>
        </w:tc>
      </w:tr>
      <w:tr w:rsidR="002E375E" w:rsidRPr="00623630" w14:paraId="4E55E6E3" w14:textId="77777777" w:rsidTr="00F13516">
        <w:trPr>
          <w:trHeight w:val="267"/>
        </w:trPr>
        <w:tc>
          <w:tcPr>
            <w:tcW w:w="3072" w:type="dxa"/>
          </w:tcPr>
          <w:p w14:paraId="29081DB8" w14:textId="77777777" w:rsidR="002E375E" w:rsidRPr="00623630" w:rsidRDefault="002E375E" w:rsidP="00F13516">
            <w:pPr>
              <w:rPr>
                <w:rFonts w:ascii="Arial" w:hAnsi="Arial" w:cs="Arial"/>
              </w:rPr>
            </w:pPr>
            <w:r w:rsidRPr="00623630">
              <w:rPr>
                <w:rFonts w:ascii="Arial" w:hAnsi="Arial" w:cs="Arial"/>
              </w:rPr>
              <w:t>Interest on works and associated costs</w:t>
            </w:r>
          </w:p>
        </w:tc>
        <w:tc>
          <w:tcPr>
            <w:tcW w:w="5993" w:type="dxa"/>
          </w:tcPr>
          <w:p w14:paraId="3768E640" w14:textId="77777777" w:rsidR="002E375E" w:rsidRPr="00623630" w:rsidRDefault="002E375E" w:rsidP="00F13516">
            <w:pPr>
              <w:jc w:val="center"/>
              <w:rPr>
                <w:rFonts w:ascii="Arial" w:hAnsi="Arial" w:cs="Arial"/>
              </w:rPr>
            </w:pPr>
            <w:r w:rsidRPr="00623630">
              <w:rPr>
                <w:rFonts w:ascii="Arial" w:hAnsi="Arial" w:cs="Arial"/>
              </w:rPr>
              <w:t>Cost of the work plus officer time (including travel) plus £100 admin fee. 3% interest per annum added where invoice is un-paid after the initial 28 days.</w:t>
            </w:r>
          </w:p>
        </w:tc>
      </w:tr>
    </w:tbl>
    <w:p w14:paraId="679C155D" w14:textId="77777777" w:rsidR="002E375E" w:rsidRPr="002E375E" w:rsidRDefault="002E375E" w:rsidP="00CE0E86">
      <w:pPr>
        <w:pStyle w:val="ListParagraph"/>
        <w:numPr>
          <w:ilvl w:val="0"/>
          <w:numId w:val="5"/>
        </w:numPr>
        <w:rPr>
          <w:rFonts w:eastAsia="Calibri" w:cs="Arial"/>
          <w:sz w:val="24"/>
          <w:szCs w:val="24"/>
        </w:rPr>
      </w:pPr>
      <w:r w:rsidRPr="002E375E">
        <w:rPr>
          <w:rFonts w:eastAsia="Calibri" w:cs="Arial"/>
          <w:sz w:val="24"/>
          <w:szCs w:val="24"/>
        </w:rPr>
        <w:br w:type="page"/>
      </w:r>
    </w:p>
    <w:p w14:paraId="0D376696" w14:textId="4302F6F5" w:rsidR="002E375E" w:rsidRPr="007B032F" w:rsidRDefault="002E375E" w:rsidP="00DF5B50">
      <w:pPr>
        <w:pStyle w:val="EHRMajorheading"/>
        <w:numPr>
          <w:ilvl w:val="0"/>
          <w:numId w:val="0"/>
        </w:numPr>
        <w:ind w:left="1134" w:hanging="1134"/>
        <w:rPr>
          <w:lang w:eastAsia="en-GB"/>
        </w:rPr>
      </w:pPr>
      <w:bookmarkStart w:id="49" w:name="_Toc227842226"/>
      <w:bookmarkStart w:id="50" w:name="_Toc228375970"/>
      <w:r w:rsidRPr="007B032F">
        <w:rPr>
          <w:lang w:eastAsia="en-GB"/>
        </w:rPr>
        <w:lastRenderedPageBreak/>
        <w:t>A</w:t>
      </w:r>
      <w:r w:rsidR="00623630">
        <w:rPr>
          <w:lang w:eastAsia="en-GB"/>
        </w:rPr>
        <w:t>PPENDIX</w:t>
      </w:r>
      <w:r w:rsidRPr="007B032F">
        <w:rPr>
          <w:lang w:eastAsia="en-GB"/>
        </w:rPr>
        <w:t xml:space="preserve"> 2</w:t>
      </w:r>
      <w:bookmarkEnd w:id="49"/>
      <w:r w:rsidR="00623630">
        <w:rPr>
          <w:lang w:eastAsia="en-GB"/>
        </w:rPr>
        <w:t xml:space="preserve"> Statement of Principles</w:t>
      </w:r>
      <w:bookmarkEnd w:id="50"/>
    </w:p>
    <w:p w14:paraId="3FAF9643" w14:textId="62CB38DB" w:rsidR="002E375E" w:rsidRPr="007B032F" w:rsidRDefault="002E375E" w:rsidP="00DF5B50">
      <w:pPr>
        <w:pStyle w:val="EHR-Sub-heading1"/>
        <w:numPr>
          <w:ilvl w:val="0"/>
          <w:numId w:val="0"/>
        </w:numPr>
      </w:pPr>
      <w:bookmarkStart w:id="51" w:name="_Toc227842227"/>
      <w:bookmarkStart w:id="52" w:name="_Toc228375971"/>
      <w:r w:rsidRPr="007B032F">
        <w:t>Statement of Principles</w:t>
      </w:r>
      <w:bookmarkEnd w:id="51"/>
      <w:r>
        <w:t xml:space="preserve"> - </w:t>
      </w:r>
      <w:bookmarkStart w:id="53" w:name="_Toc227842228"/>
      <w:r w:rsidRPr="007B032F">
        <w:t>The Smoke and Carbon Monoxide Alarm England)</w:t>
      </w:r>
      <w:bookmarkEnd w:id="53"/>
      <w:r w:rsidRPr="007B032F">
        <w:t xml:space="preserve"> </w:t>
      </w:r>
      <w:bookmarkStart w:id="54" w:name="_Toc227842229"/>
      <w:r w:rsidRPr="007B032F">
        <w:t>Regulations 2015</w:t>
      </w:r>
      <w:bookmarkEnd w:id="52"/>
      <w:bookmarkEnd w:id="54"/>
    </w:p>
    <w:p w14:paraId="663040DD" w14:textId="1E85DDB7" w:rsidR="002E375E" w:rsidRDefault="002E375E" w:rsidP="002E375E">
      <w:r>
        <w:t xml:space="preserve">Under the Smoke and Carbon Monoxide Alarm (England) Regulations 2015, Mid Devon District Council is required to publish this statement of principles to ensure landlords are aware of the </w:t>
      </w:r>
      <w:proofErr w:type="gramStart"/>
      <w:r>
        <w:t>manner in which</w:t>
      </w:r>
      <w:proofErr w:type="gramEnd"/>
      <w:r>
        <w:t xml:space="preserve"> a civil penalty under these regulations will be calculated.</w:t>
      </w:r>
    </w:p>
    <w:p w14:paraId="64353BDE" w14:textId="77777777" w:rsidR="002E375E" w:rsidRDefault="002E375E" w:rsidP="002E375E"/>
    <w:p w14:paraId="6946AED4" w14:textId="77777777" w:rsidR="002E375E" w:rsidRDefault="002E375E" w:rsidP="002E375E">
      <w:r>
        <w:t>The Council has determined that the following principles will be followed:</w:t>
      </w:r>
    </w:p>
    <w:tbl>
      <w:tblPr>
        <w:tblStyle w:val="TableGrid1"/>
        <w:tblW w:w="9065" w:type="dxa"/>
        <w:tblLayout w:type="fixed"/>
        <w:tblLook w:val="04A0" w:firstRow="1" w:lastRow="0" w:firstColumn="1" w:lastColumn="0" w:noHBand="0" w:noVBand="1"/>
        <w:tblCaption w:val="The Smoke and Carbon Monoxide Alarm (England)"/>
        <w:tblDescription w:val="Penalty for failing to comply with a remedial notice under these regualtions"/>
      </w:tblPr>
      <w:tblGrid>
        <w:gridCol w:w="4531"/>
        <w:gridCol w:w="4534"/>
      </w:tblGrid>
      <w:tr w:rsidR="002E375E" w:rsidRPr="00940A0F" w14:paraId="21917BF4" w14:textId="77777777" w:rsidTr="00F13516">
        <w:trPr>
          <w:trHeight w:val="519"/>
          <w:tblHeader/>
        </w:trPr>
        <w:tc>
          <w:tcPr>
            <w:tcW w:w="4531" w:type="dxa"/>
            <w:vAlign w:val="center"/>
          </w:tcPr>
          <w:p w14:paraId="4657FE5D" w14:textId="77777777" w:rsidR="002E375E" w:rsidRPr="00940A0F" w:rsidRDefault="002E375E" w:rsidP="00F13516">
            <w:pPr>
              <w:jc w:val="center"/>
              <w:rPr>
                <w:rFonts w:cs="Arial"/>
                <w:b/>
                <w:szCs w:val="22"/>
              </w:rPr>
            </w:pPr>
          </w:p>
        </w:tc>
        <w:tc>
          <w:tcPr>
            <w:tcW w:w="4534" w:type="dxa"/>
            <w:vAlign w:val="center"/>
          </w:tcPr>
          <w:p w14:paraId="38C61146" w14:textId="77777777" w:rsidR="002E375E" w:rsidRPr="00940A0F" w:rsidRDefault="002E375E" w:rsidP="00F13516">
            <w:pPr>
              <w:jc w:val="center"/>
              <w:rPr>
                <w:rFonts w:cs="Arial"/>
                <w:b/>
                <w:szCs w:val="22"/>
              </w:rPr>
            </w:pPr>
            <w:r w:rsidRPr="00940A0F">
              <w:rPr>
                <w:rFonts w:cs="Arial"/>
                <w:b/>
                <w:szCs w:val="22"/>
              </w:rPr>
              <w:t>Penalty</w:t>
            </w:r>
          </w:p>
        </w:tc>
      </w:tr>
      <w:tr w:rsidR="002E375E" w:rsidRPr="00940A0F" w14:paraId="0022F272" w14:textId="77777777" w:rsidTr="00F13516">
        <w:trPr>
          <w:trHeight w:val="267"/>
        </w:trPr>
        <w:tc>
          <w:tcPr>
            <w:tcW w:w="4531" w:type="dxa"/>
            <w:vAlign w:val="center"/>
          </w:tcPr>
          <w:p w14:paraId="654D0B17" w14:textId="77777777" w:rsidR="002E375E" w:rsidRPr="00940A0F" w:rsidRDefault="002E375E" w:rsidP="00F13516">
            <w:pPr>
              <w:rPr>
                <w:rFonts w:cs="Arial"/>
                <w:szCs w:val="22"/>
              </w:rPr>
            </w:pPr>
            <w:r>
              <w:rPr>
                <w:rFonts w:cs="Arial"/>
                <w:szCs w:val="22"/>
              </w:rPr>
              <w:t>Smoke and carbon monoxide alarm (England) Regulations 2015</w:t>
            </w:r>
          </w:p>
        </w:tc>
        <w:tc>
          <w:tcPr>
            <w:tcW w:w="4534" w:type="dxa"/>
            <w:vAlign w:val="center"/>
          </w:tcPr>
          <w:p w14:paraId="57AF6E2F" w14:textId="77777777" w:rsidR="002E375E" w:rsidRPr="00940A0F" w:rsidRDefault="002E375E" w:rsidP="00F13516">
            <w:pPr>
              <w:jc w:val="center"/>
              <w:rPr>
                <w:rFonts w:cs="Arial"/>
                <w:szCs w:val="22"/>
              </w:rPr>
            </w:pPr>
            <w:r w:rsidRPr="00940A0F">
              <w:rPr>
                <w:rFonts w:cs="Arial"/>
                <w:szCs w:val="22"/>
              </w:rPr>
              <w:t>£5000</w:t>
            </w:r>
          </w:p>
        </w:tc>
      </w:tr>
    </w:tbl>
    <w:p w14:paraId="57BBAC12" w14:textId="77777777" w:rsidR="002E375E" w:rsidRDefault="002E375E" w:rsidP="002E375E"/>
    <w:p w14:paraId="55C51245" w14:textId="77777777" w:rsidR="002E375E" w:rsidRDefault="002E375E" w:rsidP="002E375E">
      <w:r>
        <w:t xml:space="preserve">The Smoke and Carbon Monoxide Alarm (England) Regulations 2015 came into force on the </w:t>
      </w:r>
      <w:proofErr w:type="gramStart"/>
      <w:r>
        <w:t>1</w:t>
      </w:r>
      <w:r w:rsidRPr="00471F12">
        <w:rPr>
          <w:vertAlign w:val="superscript"/>
        </w:rPr>
        <w:t>st</w:t>
      </w:r>
      <w:proofErr w:type="gramEnd"/>
      <w:r>
        <w:t xml:space="preserve"> October 2015.</w:t>
      </w:r>
    </w:p>
    <w:p w14:paraId="288D3EC6" w14:textId="77777777" w:rsidR="002E375E" w:rsidRDefault="002E375E" w:rsidP="002E375E">
      <w:r>
        <w:t>The regulations require a “relevant landlord” of a “specified tenancy” of residential premises to ensure that when the premises are occupied under the tenancy:</w:t>
      </w:r>
    </w:p>
    <w:p w14:paraId="4DADF344" w14:textId="77777777" w:rsidR="002E375E" w:rsidRPr="00ED0A32" w:rsidRDefault="002E375E" w:rsidP="00CE0E86">
      <w:pPr>
        <w:numPr>
          <w:ilvl w:val="0"/>
          <w:numId w:val="6"/>
        </w:numPr>
        <w:spacing w:before="100" w:beforeAutospacing="1" w:after="100" w:afterAutospacing="1" w:line="240" w:lineRule="auto"/>
        <w:ind w:left="495"/>
        <w:rPr>
          <w:rFonts w:cs="Arial"/>
          <w:szCs w:val="24"/>
          <w:lang w:eastAsia="en-GB"/>
        </w:rPr>
      </w:pPr>
      <w:r w:rsidRPr="00ED0A32">
        <w:rPr>
          <w:rFonts w:cs="Arial"/>
          <w:szCs w:val="24"/>
          <w:lang w:eastAsia="en-GB"/>
        </w:rPr>
        <w:t>A smoke alarm is installed on each storey of the premises on which there is a room used wholly or partly as living accommodation;</w:t>
      </w:r>
    </w:p>
    <w:p w14:paraId="255A6088" w14:textId="77777777" w:rsidR="002E375E" w:rsidRPr="00ED0A32" w:rsidRDefault="002E375E" w:rsidP="00CE0E86">
      <w:pPr>
        <w:numPr>
          <w:ilvl w:val="0"/>
          <w:numId w:val="6"/>
        </w:numPr>
        <w:spacing w:before="100" w:beforeAutospacing="1" w:after="100" w:afterAutospacing="1" w:line="240" w:lineRule="auto"/>
        <w:ind w:left="495"/>
        <w:rPr>
          <w:rFonts w:cs="Arial"/>
          <w:szCs w:val="24"/>
          <w:lang w:eastAsia="en-GB"/>
        </w:rPr>
      </w:pPr>
      <w:r w:rsidRPr="00ED0A32">
        <w:rPr>
          <w:rFonts w:cs="Arial"/>
          <w:szCs w:val="24"/>
          <w:lang w:eastAsia="en-GB"/>
        </w:rPr>
        <w:t xml:space="preserve">A carbon monoxide alarm is installed in any room which is used wholly or partly as living accommodation and contains a solid fuel burning </w:t>
      </w:r>
      <w:proofErr w:type="gramStart"/>
      <w:r w:rsidRPr="00ED0A32">
        <w:rPr>
          <w:rFonts w:cs="Arial"/>
          <w:szCs w:val="24"/>
          <w:lang w:eastAsia="en-GB"/>
        </w:rPr>
        <w:t>combustion  appliance</w:t>
      </w:r>
      <w:proofErr w:type="gramEnd"/>
      <w:r w:rsidRPr="00ED0A32">
        <w:rPr>
          <w:rFonts w:cs="Arial"/>
          <w:szCs w:val="24"/>
          <w:lang w:eastAsia="en-GB"/>
        </w:rPr>
        <w:t xml:space="preserve"> (e.g. a coal fire, wood burning stove)</w:t>
      </w:r>
    </w:p>
    <w:p w14:paraId="1735F94E" w14:textId="77777777" w:rsidR="002E375E" w:rsidRPr="00ED0A32" w:rsidRDefault="002E375E" w:rsidP="002E375E">
      <w:pPr>
        <w:spacing w:before="100" w:beforeAutospacing="1" w:after="100" w:afterAutospacing="1"/>
        <w:rPr>
          <w:rFonts w:cs="Arial"/>
          <w:szCs w:val="24"/>
          <w:lang w:eastAsia="en-GB"/>
        </w:rPr>
      </w:pPr>
      <w:r w:rsidRPr="00ED0A32">
        <w:rPr>
          <w:rFonts w:cs="Arial"/>
          <w:szCs w:val="24"/>
          <w:lang w:eastAsia="en-GB"/>
        </w:rPr>
        <w:t>The landlord must ensure the alarms are in proper working order at the start of any new tenancy.</w:t>
      </w:r>
    </w:p>
    <w:p w14:paraId="0CA9EC26" w14:textId="77777777" w:rsidR="002E375E" w:rsidRDefault="002E375E" w:rsidP="002E375E">
      <w:pPr>
        <w:spacing w:before="100" w:beforeAutospacing="1" w:after="100" w:afterAutospacing="1"/>
        <w:rPr>
          <w:rFonts w:cs="Arial"/>
          <w:szCs w:val="24"/>
          <w:lang w:eastAsia="en-GB"/>
        </w:rPr>
      </w:pPr>
      <w:r w:rsidRPr="00ED0A32">
        <w:rPr>
          <w:rFonts w:cs="Arial"/>
          <w:szCs w:val="24"/>
          <w:lang w:eastAsia="en-GB"/>
        </w:rPr>
        <w:t xml:space="preserve">If the local authority is satisfied that a landlord has breached the regulations and has failed to comply with a remedial </w:t>
      </w:r>
      <w:proofErr w:type="gramStart"/>
      <w:r w:rsidRPr="00ED0A32">
        <w:rPr>
          <w:rFonts w:cs="Arial"/>
          <w:szCs w:val="24"/>
          <w:lang w:eastAsia="en-GB"/>
        </w:rPr>
        <w:t>notice</w:t>
      </w:r>
      <w:proofErr w:type="gramEnd"/>
      <w:r w:rsidRPr="00ED0A32">
        <w:rPr>
          <w:rFonts w:cs="Arial"/>
          <w:szCs w:val="24"/>
          <w:lang w:eastAsia="en-GB"/>
        </w:rPr>
        <w:t xml:space="preserve"> then the authority must arrange for remedial action to be taken. The Council can then impose a civil penalty as determined in the table above. </w:t>
      </w:r>
    </w:p>
    <w:p w14:paraId="6DD513DE" w14:textId="77777777" w:rsidR="002E375E" w:rsidRDefault="002E375E" w:rsidP="002E375E">
      <w:pPr>
        <w:spacing w:before="100" w:beforeAutospacing="1" w:after="100" w:afterAutospacing="1"/>
        <w:rPr>
          <w:rFonts w:cs="Arial"/>
          <w:szCs w:val="24"/>
          <w:lang w:eastAsia="en-GB"/>
        </w:rPr>
      </w:pPr>
      <w:r>
        <w:rPr>
          <w:rFonts w:cs="Arial"/>
          <w:szCs w:val="24"/>
          <w:lang w:eastAsia="en-GB"/>
        </w:rPr>
        <w:t xml:space="preserve">For further information please refer to the regulations at </w:t>
      </w:r>
    </w:p>
    <w:p w14:paraId="22680FFB" w14:textId="77777777" w:rsidR="002E375E" w:rsidRDefault="002E375E" w:rsidP="002E375E">
      <w:pPr>
        <w:spacing w:before="100" w:beforeAutospacing="1" w:after="100" w:afterAutospacing="1"/>
        <w:rPr>
          <w:rFonts w:cs="Arial"/>
          <w:szCs w:val="24"/>
          <w:lang w:eastAsia="en-GB"/>
        </w:rPr>
      </w:pPr>
      <w:hyperlink r:id="rId13" w:history="1">
        <w:r w:rsidRPr="008B5608">
          <w:rPr>
            <w:rStyle w:val="Hyperlink"/>
            <w:lang w:eastAsia="en-GB"/>
          </w:rPr>
          <w:t>http://www.legislation.gov.uk/id/uksi/2015/1693</w:t>
        </w:r>
      </w:hyperlink>
    </w:p>
    <w:p w14:paraId="7D55ED94" w14:textId="1D687C3F" w:rsidR="002E375E" w:rsidRPr="00ED0A32" w:rsidRDefault="002E375E" w:rsidP="002E375E">
      <w:pPr>
        <w:spacing w:before="100" w:beforeAutospacing="1" w:after="100" w:afterAutospacing="1"/>
        <w:rPr>
          <w:rFonts w:cs="Arial"/>
          <w:szCs w:val="24"/>
          <w:lang w:eastAsia="en-GB"/>
        </w:rPr>
      </w:pPr>
      <w:r w:rsidRPr="00ED0A32">
        <w:rPr>
          <w:rFonts w:cs="Arial"/>
          <w:szCs w:val="24"/>
          <w:lang w:eastAsia="en-GB"/>
        </w:rPr>
        <w:t xml:space="preserve">Separate general guidance on the requirement of the regulations is available at: </w:t>
      </w:r>
      <w:hyperlink r:id="rId14" w:history="1">
        <w:r w:rsidRPr="008B5608">
          <w:rPr>
            <w:rStyle w:val="Hyperlink"/>
            <w:lang w:eastAsia="en-GB"/>
          </w:rPr>
          <w:t>www.gov.uk/government/publications/smoke-and-carbon-monoxide-alarms-explanatory-booklet-for-landlords</w:t>
        </w:r>
      </w:hyperlink>
    </w:p>
    <w:p w14:paraId="64884551" w14:textId="77777777" w:rsidR="002E375E" w:rsidRDefault="002E375E" w:rsidP="002E375E">
      <w:pPr>
        <w:autoSpaceDE w:val="0"/>
        <w:autoSpaceDN w:val="0"/>
        <w:adjustRightInd w:val="0"/>
        <w:spacing w:line="276" w:lineRule="auto"/>
        <w:ind w:left="720" w:hanging="720"/>
        <w:rPr>
          <w:rFonts w:eastAsia="Calibri" w:cs="Arial"/>
          <w:sz w:val="24"/>
          <w:szCs w:val="24"/>
        </w:rPr>
      </w:pPr>
    </w:p>
    <w:p w14:paraId="78545F2F" w14:textId="77777777" w:rsidR="002E375E" w:rsidRPr="002E375E" w:rsidRDefault="002E375E" w:rsidP="002E375E">
      <w:pPr>
        <w:pStyle w:val="EHRBodytext"/>
      </w:pPr>
    </w:p>
    <w:sectPr w:rsidR="002E375E" w:rsidRPr="002E375E" w:rsidSect="00176004">
      <w:pgSz w:w="11906" w:h="16838"/>
      <w:pgMar w:top="1134" w:right="1133" w:bottom="1135" w:left="1134" w:header="708" w:footer="3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9A439" w14:textId="77777777" w:rsidR="005455F5" w:rsidRPr="00576973" w:rsidRDefault="005455F5" w:rsidP="000F2C26">
      <w:pPr>
        <w:spacing w:after="0" w:line="240" w:lineRule="auto"/>
      </w:pPr>
      <w:r w:rsidRPr="00576973">
        <w:separator/>
      </w:r>
    </w:p>
  </w:endnote>
  <w:endnote w:type="continuationSeparator" w:id="0">
    <w:p w14:paraId="3C2C40AB" w14:textId="77777777" w:rsidR="005455F5" w:rsidRPr="00576973" w:rsidRDefault="005455F5" w:rsidP="000F2C26">
      <w:pPr>
        <w:spacing w:after="0" w:line="240" w:lineRule="auto"/>
      </w:pPr>
      <w:r w:rsidRPr="005769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color w:val="595959" w:themeColor="text1" w:themeTint="A6"/>
      </w:rPr>
      <w:id w:val="-934661760"/>
      <w:docPartObj>
        <w:docPartGallery w:val="Page Numbers (Bottom of Page)"/>
        <w:docPartUnique/>
      </w:docPartObj>
    </w:sdtPr>
    <w:sdtEndPr>
      <w:rPr>
        <w:color w:val="auto"/>
      </w:rPr>
    </w:sdtEndPr>
    <w:sdtContent>
      <w:p w14:paraId="49EAC279" w14:textId="768DA8B3" w:rsidR="00E87410" w:rsidRPr="00576973" w:rsidRDefault="00E87410">
        <w:pPr>
          <w:pStyle w:val="Footer"/>
          <w:jc w:val="right"/>
          <w:rPr>
            <w:rFonts w:ascii="Arial" w:hAnsi="Arial" w:cs="Arial"/>
          </w:rPr>
        </w:pPr>
        <w:r w:rsidRPr="00F4514F">
          <w:rPr>
            <w:rFonts w:ascii="Arial" w:hAnsi="Arial" w:cs="Arial"/>
            <w:color w:val="595959" w:themeColor="text1" w:themeTint="A6"/>
          </w:rPr>
          <w:t xml:space="preserve">Page | </w:t>
        </w:r>
        <w:r w:rsidRPr="00F4514F">
          <w:rPr>
            <w:rFonts w:ascii="Arial" w:hAnsi="Arial" w:cs="Arial"/>
            <w:color w:val="595959" w:themeColor="text1" w:themeTint="A6"/>
          </w:rPr>
          <w:fldChar w:fldCharType="begin"/>
        </w:r>
        <w:r w:rsidRPr="00F4514F">
          <w:rPr>
            <w:rFonts w:ascii="Arial" w:hAnsi="Arial" w:cs="Arial"/>
            <w:color w:val="595959" w:themeColor="text1" w:themeTint="A6"/>
          </w:rPr>
          <w:instrText xml:space="preserve"> PAGE   \* MERGEFORMAT </w:instrText>
        </w:r>
        <w:r w:rsidRPr="00F4514F">
          <w:rPr>
            <w:rFonts w:ascii="Arial" w:hAnsi="Arial" w:cs="Arial"/>
            <w:color w:val="595959" w:themeColor="text1" w:themeTint="A6"/>
          </w:rPr>
          <w:fldChar w:fldCharType="separate"/>
        </w:r>
        <w:r w:rsidRPr="00F4514F">
          <w:rPr>
            <w:rFonts w:ascii="Arial" w:hAnsi="Arial" w:cs="Arial"/>
            <w:color w:val="595959" w:themeColor="text1" w:themeTint="A6"/>
          </w:rPr>
          <w:t>21</w:t>
        </w:r>
        <w:r w:rsidRPr="00F4514F">
          <w:rPr>
            <w:rFonts w:ascii="Arial" w:hAnsi="Arial" w:cs="Arial"/>
            <w:color w:val="595959" w:themeColor="text1" w:themeTint="A6"/>
          </w:rPr>
          <w:fldChar w:fldCharType="end"/>
        </w:r>
        <w:r w:rsidRPr="00F4514F">
          <w:rPr>
            <w:rFonts w:ascii="Arial" w:hAnsi="Arial" w:cs="Arial"/>
            <w:color w:val="595959" w:themeColor="text1" w:themeTint="A6"/>
          </w:rPr>
          <w:t xml:space="preserve"> </w:t>
        </w:r>
      </w:p>
    </w:sdtContent>
  </w:sdt>
  <w:p w14:paraId="4E338B3A" w14:textId="77777777" w:rsidR="00E87410" w:rsidRPr="00576973" w:rsidRDefault="00E874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CB27A" w14:textId="77777777" w:rsidR="005455F5" w:rsidRPr="00576973" w:rsidRDefault="005455F5" w:rsidP="000F2C26">
      <w:pPr>
        <w:spacing w:after="0" w:line="240" w:lineRule="auto"/>
      </w:pPr>
      <w:r w:rsidRPr="00576973">
        <w:separator/>
      </w:r>
    </w:p>
  </w:footnote>
  <w:footnote w:type="continuationSeparator" w:id="0">
    <w:p w14:paraId="74C6E605" w14:textId="77777777" w:rsidR="005455F5" w:rsidRPr="00576973" w:rsidRDefault="005455F5" w:rsidP="000F2C26">
      <w:pPr>
        <w:spacing w:after="0" w:line="240" w:lineRule="auto"/>
      </w:pPr>
      <w:r w:rsidRPr="00576973">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13DF8"/>
    <w:multiLevelType w:val="hybridMultilevel"/>
    <w:tmpl w:val="7D5A5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2D60A0"/>
    <w:multiLevelType w:val="hybridMultilevel"/>
    <w:tmpl w:val="389AB5E2"/>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 w15:restartNumberingAfterBreak="0">
    <w:nsid w:val="227B086A"/>
    <w:multiLevelType w:val="hybridMultilevel"/>
    <w:tmpl w:val="DB6666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4F15F0D"/>
    <w:multiLevelType w:val="hybridMultilevel"/>
    <w:tmpl w:val="8AB266C0"/>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4" w15:restartNumberingAfterBreak="0">
    <w:nsid w:val="27E008CF"/>
    <w:multiLevelType w:val="multilevel"/>
    <w:tmpl w:val="48AE9080"/>
    <w:lvl w:ilvl="0">
      <w:start w:val="1"/>
      <w:numFmt w:val="decimal"/>
      <w:pStyle w:val="EHRMajorheading"/>
      <w:lvlText w:val="%1"/>
      <w:lvlJc w:val="left"/>
      <w:pPr>
        <w:ind w:left="1134" w:hanging="1134"/>
      </w:pPr>
      <w:rPr>
        <w:color w:val="2E74B5"/>
        <w:sz w:val="40"/>
        <w:szCs w:val="40"/>
        <w:specVanish w:val="0"/>
      </w:rPr>
    </w:lvl>
    <w:lvl w:ilvl="1">
      <w:start w:val="1"/>
      <w:numFmt w:val="decimal"/>
      <w:pStyle w:val="EHR-Sub-heading1"/>
      <w:lvlText w:val="%1.%2"/>
      <w:lvlJc w:val="left"/>
      <w:pPr>
        <w:ind w:left="1134" w:hanging="1134"/>
      </w:pPr>
      <w:rPr>
        <w:color w:val="2E74B5"/>
        <w:specVanish w:val="0"/>
      </w:rPr>
    </w:lvl>
    <w:lvl w:ilvl="2">
      <w:start w:val="1"/>
      <w:numFmt w:val="decimal"/>
      <w:lvlText w:val="%1.%2.%3"/>
      <w:lvlJc w:val="left"/>
      <w:pPr>
        <w:ind w:left="1134" w:hanging="113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EHRSub-heading2"/>
      <w:lvlText w:val="%1.%2.%3.%4."/>
      <w:lvlJc w:val="left"/>
      <w:pPr>
        <w:ind w:left="1134" w:hanging="1134"/>
      </w:pPr>
      <w:rPr>
        <w:rFonts w:hint="default"/>
      </w:rPr>
    </w:lvl>
    <w:lvl w:ilvl="4">
      <w:start w:val="1"/>
      <w:numFmt w:val="decimal"/>
      <w:lvlText w:val="%1.%2.%3.%4.%5."/>
      <w:lvlJc w:val="left"/>
      <w:pPr>
        <w:ind w:left="2552" w:hanging="2552"/>
      </w:pPr>
      <w:rPr>
        <w:rFonts w:hint="default"/>
      </w:rPr>
    </w:lvl>
    <w:lvl w:ilvl="5">
      <w:start w:val="1"/>
      <w:numFmt w:val="decimal"/>
      <w:lvlText w:val="%1.%2.%3.%4.%5.%6."/>
      <w:lvlJc w:val="left"/>
      <w:pPr>
        <w:ind w:left="2552" w:hanging="2552"/>
      </w:pPr>
      <w:rPr>
        <w:rFonts w:hint="default"/>
      </w:rPr>
    </w:lvl>
    <w:lvl w:ilvl="6">
      <w:start w:val="1"/>
      <w:numFmt w:val="decimal"/>
      <w:lvlText w:val="%1.%2.%3.%4.%5.%6.%7."/>
      <w:lvlJc w:val="left"/>
      <w:pPr>
        <w:ind w:left="1701" w:hanging="1701"/>
      </w:pPr>
      <w:rPr>
        <w:rFonts w:hint="default"/>
      </w:rPr>
    </w:lvl>
    <w:lvl w:ilvl="7">
      <w:start w:val="1"/>
      <w:numFmt w:val="decimal"/>
      <w:lvlText w:val="%1.%2.%3.%4.%5.%6.%7.%8."/>
      <w:lvlJc w:val="left"/>
      <w:pPr>
        <w:ind w:left="1701" w:hanging="1701"/>
      </w:pPr>
      <w:rPr>
        <w:rFonts w:hint="default"/>
      </w:rPr>
    </w:lvl>
    <w:lvl w:ilvl="8">
      <w:start w:val="1"/>
      <w:numFmt w:val="decimal"/>
      <w:lvlText w:val="%1.%2.%3.%4.%5.%6.%7.%8.%9."/>
      <w:lvlJc w:val="left"/>
      <w:pPr>
        <w:ind w:left="1701" w:hanging="1701"/>
      </w:pPr>
      <w:rPr>
        <w:rFonts w:hint="default"/>
      </w:rPr>
    </w:lvl>
  </w:abstractNum>
  <w:abstractNum w:abstractNumId="5" w15:restartNumberingAfterBreak="0">
    <w:nsid w:val="2DD459A4"/>
    <w:multiLevelType w:val="hybridMultilevel"/>
    <w:tmpl w:val="59463DB0"/>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6" w15:restartNumberingAfterBreak="0">
    <w:nsid w:val="30944C4E"/>
    <w:multiLevelType w:val="hybridMultilevel"/>
    <w:tmpl w:val="0E2286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304579D"/>
    <w:multiLevelType w:val="hybridMultilevel"/>
    <w:tmpl w:val="F2B843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48D4DDC"/>
    <w:multiLevelType w:val="multilevel"/>
    <w:tmpl w:val="80CC8AAA"/>
    <w:name w:val="PHCS M#"/>
    <w:lvl w:ilvl="0">
      <w:start w:val="1"/>
      <w:numFmt w:val="decimal"/>
      <w:pStyle w:val="PHCSH1"/>
      <w:lvlText w:val="%1."/>
      <w:lvlJc w:val="left"/>
      <w:pPr>
        <w:tabs>
          <w:tab w:val="num" w:pos="1304"/>
        </w:tabs>
        <w:ind w:left="1304" w:hanging="1304"/>
      </w:pPr>
    </w:lvl>
    <w:lvl w:ilvl="1">
      <w:start w:val="1"/>
      <w:numFmt w:val="decimal"/>
      <w:pStyle w:val="PHCSH2"/>
      <w:lvlText w:val="%1.%2"/>
      <w:lvlJc w:val="left"/>
      <w:pPr>
        <w:tabs>
          <w:tab w:val="num" w:pos="1304"/>
        </w:tabs>
        <w:ind w:left="1304" w:hanging="1304"/>
      </w:pPr>
    </w:lvl>
    <w:lvl w:ilvl="2">
      <w:start w:val="1"/>
      <w:numFmt w:val="decimal"/>
      <w:pStyle w:val="PHCSH3"/>
      <w:lvlText w:val="%1.%2.%3"/>
      <w:lvlJc w:val="left"/>
      <w:pPr>
        <w:tabs>
          <w:tab w:val="num" w:pos="1304"/>
        </w:tabs>
        <w:ind w:left="1304" w:hanging="1304"/>
      </w:pPr>
    </w:lvl>
    <w:lvl w:ilvl="3">
      <w:start w:val="1"/>
      <w:numFmt w:val="decimal"/>
      <w:pStyle w:val="PHCSBOD"/>
      <w:lvlText w:val="%1.%2.%3.%4"/>
      <w:lvlJc w:val="left"/>
      <w:pPr>
        <w:tabs>
          <w:tab w:val="num" w:pos="2297"/>
        </w:tabs>
        <w:ind w:left="2297" w:hanging="1304"/>
      </w:pPr>
      <w:rPr>
        <w:b w:val="0"/>
        <w:bCs w:val="0"/>
      </w:rPr>
    </w:lvl>
    <w:lvl w:ilvl="4">
      <w:start w:val="1"/>
      <w:numFmt w:val="lowerLetter"/>
      <w:lvlText w:val="%5."/>
      <w:lvlJc w:val="left"/>
      <w:pPr>
        <w:tabs>
          <w:tab w:val="num" w:pos="1304"/>
        </w:tabs>
        <w:ind w:left="1304" w:hanging="453"/>
      </w:pPr>
    </w:lvl>
    <w:lvl w:ilvl="5">
      <w:start w:val="1"/>
      <w:numFmt w:val="bullet"/>
      <w:lvlRestart w:val="0"/>
      <w:lvlText w:val=""/>
      <w:lvlJc w:val="left"/>
      <w:pPr>
        <w:tabs>
          <w:tab w:val="num" w:pos="1304"/>
        </w:tabs>
        <w:ind w:left="1304" w:hanging="453"/>
      </w:pPr>
      <w:rPr>
        <w:rFonts w:ascii="Symbol" w:hAnsi="Symbol" w:hint="default"/>
        <w:color w:val="auto"/>
      </w:rPr>
    </w:lvl>
    <w:lvl w:ilvl="6">
      <w:start w:val="1"/>
      <w:numFmt w:val="lowerRoman"/>
      <w:pStyle w:val="Heading7"/>
      <w:lvlText w:val="(%7)"/>
      <w:lvlJc w:val="left"/>
      <w:pPr>
        <w:ind w:left="1304" w:hanging="1304"/>
      </w:pPr>
    </w:lvl>
    <w:lvl w:ilvl="7">
      <w:start w:val="1"/>
      <w:numFmt w:val="lowerLetter"/>
      <w:pStyle w:val="Heading8"/>
      <w:lvlText w:val="(%8)"/>
      <w:lvlJc w:val="left"/>
      <w:pPr>
        <w:ind w:left="1304" w:hanging="1304"/>
      </w:pPr>
    </w:lvl>
    <w:lvl w:ilvl="8">
      <w:start w:val="1"/>
      <w:numFmt w:val="lowerRoman"/>
      <w:pStyle w:val="Heading9"/>
      <w:lvlText w:val="(%9)"/>
      <w:lvlJc w:val="left"/>
      <w:pPr>
        <w:ind w:left="1304" w:hanging="1304"/>
      </w:pPr>
    </w:lvl>
  </w:abstractNum>
  <w:abstractNum w:abstractNumId="9" w15:restartNumberingAfterBreak="0">
    <w:nsid w:val="3D2F7EB8"/>
    <w:multiLevelType w:val="hybridMultilevel"/>
    <w:tmpl w:val="40DA3A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7717162"/>
    <w:multiLevelType w:val="hybridMultilevel"/>
    <w:tmpl w:val="81762D04"/>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1" w15:restartNumberingAfterBreak="0">
    <w:nsid w:val="48A2438F"/>
    <w:multiLevelType w:val="hybridMultilevel"/>
    <w:tmpl w:val="0B9E2CF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4AD929B7"/>
    <w:multiLevelType w:val="hybridMultilevel"/>
    <w:tmpl w:val="3DA2F892"/>
    <w:lvl w:ilvl="0" w:tplc="CBC849FE">
      <w:start w:val="1"/>
      <w:numFmt w:val="lowerLetter"/>
      <w:pStyle w:val="EHRAlphabeticallist"/>
      <w:lvlText w:val="%1."/>
      <w:lvlJc w:val="left"/>
      <w:pPr>
        <w:ind w:left="2629" w:hanging="360"/>
      </w:pPr>
    </w:lvl>
    <w:lvl w:ilvl="1" w:tplc="08090019">
      <w:start w:val="1"/>
      <w:numFmt w:val="lowerLetter"/>
      <w:lvlText w:val="%2."/>
      <w:lvlJc w:val="left"/>
      <w:pPr>
        <w:ind w:left="2910" w:hanging="360"/>
      </w:pPr>
    </w:lvl>
    <w:lvl w:ilvl="2" w:tplc="0809001B" w:tentative="1">
      <w:start w:val="1"/>
      <w:numFmt w:val="lowerRoman"/>
      <w:lvlText w:val="%3."/>
      <w:lvlJc w:val="right"/>
      <w:pPr>
        <w:ind w:left="3630" w:hanging="180"/>
      </w:pPr>
    </w:lvl>
    <w:lvl w:ilvl="3" w:tplc="0809000F" w:tentative="1">
      <w:start w:val="1"/>
      <w:numFmt w:val="decimal"/>
      <w:lvlText w:val="%4."/>
      <w:lvlJc w:val="left"/>
      <w:pPr>
        <w:ind w:left="4350" w:hanging="360"/>
      </w:pPr>
    </w:lvl>
    <w:lvl w:ilvl="4" w:tplc="08090019" w:tentative="1">
      <w:start w:val="1"/>
      <w:numFmt w:val="lowerLetter"/>
      <w:lvlText w:val="%5."/>
      <w:lvlJc w:val="left"/>
      <w:pPr>
        <w:ind w:left="5070" w:hanging="360"/>
      </w:pPr>
    </w:lvl>
    <w:lvl w:ilvl="5" w:tplc="0809001B" w:tentative="1">
      <w:start w:val="1"/>
      <w:numFmt w:val="lowerRoman"/>
      <w:lvlText w:val="%6."/>
      <w:lvlJc w:val="right"/>
      <w:pPr>
        <w:ind w:left="5790" w:hanging="180"/>
      </w:pPr>
    </w:lvl>
    <w:lvl w:ilvl="6" w:tplc="0809000F" w:tentative="1">
      <w:start w:val="1"/>
      <w:numFmt w:val="decimal"/>
      <w:lvlText w:val="%7."/>
      <w:lvlJc w:val="left"/>
      <w:pPr>
        <w:ind w:left="6510" w:hanging="360"/>
      </w:pPr>
    </w:lvl>
    <w:lvl w:ilvl="7" w:tplc="08090019" w:tentative="1">
      <w:start w:val="1"/>
      <w:numFmt w:val="lowerLetter"/>
      <w:lvlText w:val="%8."/>
      <w:lvlJc w:val="left"/>
      <w:pPr>
        <w:ind w:left="7230" w:hanging="360"/>
      </w:pPr>
    </w:lvl>
    <w:lvl w:ilvl="8" w:tplc="0809001B" w:tentative="1">
      <w:start w:val="1"/>
      <w:numFmt w:val="lowerRoman"/>
      <w:lvlText w:val="%9."/>
      <w:lvlJc w:val="right"/>
      <w:pPr>
        <w:ind w:left="7950" w:hanging="180"/>
      </w:pPr>
    </w:lvl>
  </w:abstractNum>
  <w:abstractNum w:abstractNumId="13" w15:restartNumberingAfterBreak="0">
    <w:nsid w:val="58643009"/>
    <w:multiLevelType w:val="hybridMultilevel"/>
    <w:tmpl w:val="00E2596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59E45C09"/>
    <w:multiLevelType w:val="hybridMultilevel"/>
    <w:tmpl w:val="21BCA868"/>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5" w15:restartNumberingAfterBreak="0">
    <w:nsid w:val="5F0F0BB7"/>
    <w:multiLevelType w:val="multilevel"/>
    <w:tmpl w:val="3724C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121B4D"/>
    <w:multiLevelType w:val="hybridMultilevel"/>
    <w:tmpl w:val="2092E174"/>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7" w15:restartNumberingAfterBreak="0">
    <w:nsid w:val="74CD2D1A"/>
    <w:multiLevelType w:val="hybridMultilevel"/>
    <w:tmpl w:val="75CC6E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34723995">
    <w:abstractNumId w:val="4"/>
  </w:num>
  <w:num w:numId="2" w16cid:durableId="2100977992">
    <w:abstractNumId w:val="4"/>
  </w:num>
  <w:num w:numId="3" w16cid:durableId="1347295505">
    <w:abstractNumId w:val="12"/>
  </w:num>
  <w:num w:numId="4" w16cid:durableId="2909801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5" w16cid:durableId="192815809">
    <w:abstractNumId w:val="0"/>
  </w:num>
  <w:num w:numId="6" w16cid:durableId="432868396">
    <w:abstractNumId w:val="15"/>
  </w:num>
  <w:num w:numId="7" w16cid:durableId="1064374624">
    <w:abstractNumId w:val="10"/>
  </w:num>
  <w:num w:numId="8" w16cid:durableId="1423843692">
    <w:abstractNumId w:val="14"/>
  </w:num>
  <w:num w:numId="9" w16cid:durableId="2064215044">
    <w:abstractNumId w:val="3"/>
  </w:num>
  <w:num w:numId="10" w16cid:durableId="2084184048">
    <w:abstractNumId w:val="16"/>
  </w:num>
  <w:num w:numId="11" w16cid:durableId="1482118123">
    <w:abstractNumId w:val="5"/>
  </w:num>
  <w:num w:numId="12" w16cid:durableId="1600483356">
    <w:abstractNumId w:val="6"/>
  </w:num>
  <w:num w:numId="13" w16cid:durableId="1306475307">
    <w:abstractNumId w:val="7"/>
  </w:num>
  <w:num w:numId="14" w16cid:durableId="736050437">
    <w:abstractNumId w:val="2"/>
  </w:num>
  <w:num w:numId="15" w16cid:durableId="1598754447">
    <w:abstractNumId w:val="11"/>
  </w:num>
  <w:num w:numId="16" w16cid:durableId="650062816">
    <w:abstractNumId w:val="17"/>
  </w:num>
  <w:num w:numId="17" w16cid:durableId="1300695419">
    <w:abstractNumId w:val="13"/>
  </w:num>
  <w:num w:numId="18" w16cid:durableId="1928422510">
    <w:abstractNumId w:val="1"/>
  </w:num>
  <w:num w:numId="19" w16cid:durableId="243145520">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564"/>
    <w:rsid w:val="000011D4"/>
    <w:rsid w:val="00003FAC"/>
    <w:rsid w:val="00006FA4"/>
    <w:rsid w:val="000109FB"/>
    <w:rsid w:val="0001154A"/>
    <w:rsid w:val="00015564"/>
    <w:rsid w:val="00015996"/>
    <w:rsid w:val="00016732"/>
    <w:rsid w:val="00016CE2"/>
    <w:rsid w:val="000236D1"/>
    <w:rsid w:val="00024B49"/>
    <w:rsid w:val="0003750E"/>
    <w:rsid w:val="00043C04"/>
    <w:rsid w:val="00047466"/>
    <w:rsid w:val="00047737"/>
    <w:rsid w:val="00047790"/>
    <w:rsid w:val="00050463"/>
    <w:rsid w:val="0005346E"/>
    <w:rsid w:val="00053A94"/>
    <w:rsid w:val="000544FA"/>
    <w:rsid w:val="000823AE"/>
    <w:rsid w:val="0008255E"/>
    <w:rsid w:val="000826DE"/>
    <w:rsid w:val="00094EEB"/>
    <w:rsid w:val="00096D73"/>
    <w:rsid w:val="000A1987"/>
    <w:rsid w:val="000A7385"/>
    <w:rsid w:val="000B187F"/>
    <w:rsid w:val="000B19E9"/>
    <w:rsid w:val="000B1CC0"/>
    <w:rsid w:val="000B3318"/>
    <w:rsid w:val="000C5DED"/>
    <w:rsid w:val="000D3550"/>
    <w:rsid w:val="000D5427"/>
    <w:rsid w:val="000D5E06"/>
    <w:rsid w:val="000D6FA4"/>
    <w:rsid w:val="000D73D5"/>
    <w:rsid w:val="000E1670"/>
    <w:rsid w:val="000E341F"/>
    <w:rsid w:val="000E4EDE"/>
    <w:rsid w:val="000E5412"/>
    <w:rsid w:val="000F2C26"/>
    <w:rsid w:val="000F4077"/>
    <w:rsid w:val="0010189C"/>
    <w:rsid w:val="00102FF8"/>
    <w:rsid w:val="001059B6"/>
    <w:rsid w:val="001136A8"/>
    <w:rsid w:val="00113D5A"/>
    <w:rsid w:val="00115091"/>
    <w:rsid w:val="00122297"/>
    <w:rsid w:val="00124A0A"/>
    <w:rsid w:val="00126929"/>
    <w:rsid w:val="00126AED"/>
    <w:rsid w:val="001400C7"/>
    <w:rsid w:val="00140876"/>
    <w:rsid w:val="00144302"/>
    <w:rsid w:val="00145C27"/>
    <w:rsid w:val="00147751"/>
    <w:rsid w:val="001519B0"/>
    <w:rsid w:val="00153725"/>
    <w:rsid w:val="00166586"/>
    <w:rsid w:val="00176004"/>
    <w:rsid w:val="00182012"/>
    <w:rsid w:val="00186E0D"/>
    <w:rsid w:val="00187E83"/>
    <w:rsid w:val="00192531"/>
    <w:rsid w:val="001A1D25"/>
    <w:rsid w:val="001A7C0D"/>
    <w:rsid w:val="001B1762"/>
    <w:rsid w:val="001B2BC2"/>
    <w:rsid w:val="001B2F9E"/>
    <w:rsid w:val="001C05B1"/>
    <w:rsid w:val="001C3357"/>
    <w:rsid w:val="001C5B90"/>
    <w:rsid w:val="001D0D3E"/>
    <w:rsid w:val="001D23B7"/>
    <w:rsid w:val="001D4082"/>
    <w:rsid w:val="001D41FB"/>
    <w:rsid w:val="001D7C84"/>
    <w:rsid w:val="001E3618"/>
    <w:rsid w:val="001E7403"/>
    <w:rsid w:val="001F1457"/>
    <w:rsid w:val="0021277A"/>
    <w:rsid w:val="00213ECA"/>
    <w:rsid w:val="0022613F"/>
    <w:rsid w:val="00230130"/>
    <w:rsid w:val="00232498"/>
    <w:rsid w:val="00240783"/>
    <w:rsid w:val="00243288"/>
    <w:rsid w:val="0024566C"/>
    <w:rsid w:val="00251CD4"/>
    <w:rsid w:val="00254261"/>
    <w:rsid w:val="00261776"/>
    <w:rsid w:val="00262591"/>
    <w:rsid w:val="00263C88"/>
    <w:rsid w:val="00270C38"/>
    <w:rsid w:val="002801E5"/>
    <w:rsid w:val="00283533"/>
    <w:rsid w:val="00286562"/>
    <w:rsid w:val="002867B4"/>
    <w:rsid w:val="00294913"/>
    <w:rsid w:val="00296E3A"/>
    <w:rsid w:val="00296E79"/>
    <w:rsid w:val="002A5C0F"/>
    <w:rsid w:val="002A5D48"/>
    <w:rsid w:val="002B4C8C"/>
    <w:rsid w:val="002B6097"/>
    <w:rsid w:val="002C1673"/>
    <w:rsid w:val="002C410D"/>
    <w:rsid w:val="002C6B47"/>
    <w:rsid w:val="002D6F68"/>
    <w:rsid w:val="002E0C74"/>
    <w:rsid w:val="002E375E"/>
    <w:rsid w:val="002F09E4"/>
    <w:rsid w:val="002F2BB6"/>
    <w:rsid w:val="002F388C"/>
    <w:rsid w:val="002F3E8B"/>
    <w:rsid w:val="002F718F"/>
    <w:rsid w:val="00302A19"/>
    <w:rsid w:val="0030632B"/>
    <w:rsid w:val="00307444"/>
    <w:rsid w:val="0031020C"/>
    <w:rsid w:val="00310239"/>
    <w:rsid w:val="0031165A"/>
    <w:rsid w:val="00311B6D"/>
    <w:rsid w:val="00315CCB"/>
    <w:rsid w:val="0032276F"/>
    <w:rsid w:val="0032390E"/>
    <w:rsid w:val="00330EC5"/>
    <w:rsid w:val="003362C1"/>
    <w:rsid w:val="00336981"/>
    <w:rsid w:val="003373DA"/>
    <w:rsid w:val="00346DDA"/>
    <w:rsid w:val="00352088"/>
    <w:rsid w:val="003538E8"/>
    <w:rsid w:val="00354A46"/>
    <w:rsid w:val="003566A8"/>
    <w:rsid w:val="00357094"/>
    <w:rsid w:val="00357869"/>
    <w:rsid w:val="00361FA6"/>
    <w:rsid w:val="00364FAA"/>
    <w:rsid w:val="003652E7"/>
    <w:rsid w:val="0037705F"/>
    <w:rsid w:val="003809CF"/>
    <w:rsid w:val="00381BBB"/>
    <w:rsid w:val="003859D0"/>
    <w:rsid w:val="00387D74"/>
    <w:rsid w:val="003959EA"/>
    <w:rsid w:val="0039639B"/>
    <w:rsid w:val="003A144C"/>
    <w:rsid w:val="003A15B6"/>
    <w:rsid w:val="003A1A4D"/>
    <w:rsid w:val="003A45F2"/>
    <w:rsid w:val="003A5BBF"/>
    <w:rsid w:val="003B2603"/>
    <w:rsid w:val="003C059C"/>
    <w:rsid w:val="003C5B4E"/>
    <w:rsid w:val="003C5C8B"/>
    <w:rsid w:val="003D0CC2"/>
    <w:rsid w:val="003E1CA5"/>
    <w:rsid w:val="003F0251"/>
    <w:rsid w:val="003F0FF3"/>
    <w:rsid w:val="003F7FE5"/>
    <w:rsid w:val="00402F56"/>
    <w:rsid w:val="00404708"/>
    <w:rsid w:val="00410ADC"/>
    <w:rsid w:val="004169F4"/>
    <w:rsid w:val="00420970"/>
    <w:rsid w:val="0042763F"/>
    <w:rsid w:val="0043138F"/>
    <w:rsid w:val="00437790"/>
    <w:rsid w:val="00453E13"/>
    <w:rsid w:val="004569CB"/>
    <w:rsid w:val="00457118"/>
    <w:rsid w:val="004610DB"/>
    <w:rsid w:val="004627DC"/>
    <w:rsid w:val="00471E72"/>
    <w:rsid w:val="00482C1D"/>
    <w:rsid w:val="00483BBA"/>
    <w:rsid w:val="00483C4B"/>
    <w:rsid w:val="004925F3"/>
    <w:rsid w:val="004970BC"/>
    <w:rsid w:val="004A5EA0"/>
    <w:rsid w:val="004A6820"/>
    <w:rsid w:val="004B4B99"/>
    <w:rsid w:val="004B4F19"/>
    <w:rsid w:val="004C03C1"/>
    <w:rsid w:val="004C21B0"/>
    <w:rsid w:val="004C68A1"/>
    <w:rsid w:val="004C6FC0"/>
    <w:rsid w:val="004D04B7"/>
    <w:rsid w:val="004D2486"/>
    <w:rsid w:val="004D723B"/>
    <w:rsid w:val="004F6148"/>
    <w:rsid w:val="004F7CF7"/>
    <w:rsid w:val="00507AA3"/>
    <w:rsid w:val="005139F5"/>
    <w:rsid w:val="0052149C"/>
    <w:rsid w:val="00524B8D"/>
    <w:rsid w:val="00525EFF"/>
    <w:rsid w:val="00525FBC"/>
    <w:rsid w:val="005262B8"/>
    <w:rsid w:val="00526E2C"/>
    <w:rsid w:val="00530219"/>
    <w:rsid w:val="00532AFA"/>
    <w:rsid w:val="0053688D"/>
    <w:rsid w:val="00543C97"/>
    <w:rsid w:val="005455F5"/>
    <w:rsid w:val="00557694"/>
    <w:rsid w:val="00564612"/>
    <w:rsid w:val="00573EB7"/>
    <w:rsid w:val="00574E51"/>
    <w:rsid w:val="00575D01"/>
    <w:rsid w:val="00576973"/>
    <w:rsid w:val="005812CD"/>
    <w:rsid w:val="00582B5F"/>
    <w:rsid w:val="005849A9"/>
    <w:rsid w:val="00594F5B"/>
    <w:rsid w:val="005A3227"/>
    <w:rsid w:val="005B09D1"/>
    <w:rsid w:val="005B4FCF"/>
    <w:rsid w:val="005C0DF1"/>
    <w:rsid w:val="005C2995"/>
    <w:rsid w:val="005C62A6"/>
    <w:rsid w:val="005D15CC"/>
    <w:rsid w:val="005D226E"/>
    <w:rsid w:val="005E0418"/>
    <w:rsid w:val="005E703B"/>
    <w:rsid w:val="005F7B41"/>
    <w:rsid w:val="00603D77"/>
    <w:rsid w:val="00607531"/>
    <w:rsid w:val="00621DAA"/>
    <w:rsid w:val="00623630"/>
    <w:rsid w:val="00624704"/>
    <w:rsid w:val="006345C5"/>
    <w:rsid w:val="006371C8"/>
    <w:rsid w:val="006400B0"/>
    <w:rsid w:val="00645279"/>
    <w:rsid w:val="0064560C"/>
    <w:rsid w:val="00645E5F"/>
    <w:rsid w:val="00646208"/>
    <w:rsid w:val="0065515E"/>
    <w:rsid w:val="006655BE"/>
    <w:rsid w:val="00666A84"/>
    <w:rsid w:val="00667D59"/>
    <w:rsid w:val="00667DB9"/>
    <w:rsid w:val="0067319B"/>
    <w:rsid w:val="0068620B"/>
    <w:rsid w:val="00693155"/>
    <w:rsid w:val="00696BB1"/>
    <w:rsid w:val="00697017"/>
    <w:rsid w:val="006973B7"/>
    <w:rsid w:val="006B24DF"/>
    <w:rsid w:val="006B365C"/>
    <w:rsid w:val="006B45AF"/>
    <w:rsid w:val="006B524F"/>
    <w:rsid w:val="006B6F99"/>
    <w:rsid w:val="006B7AF3"/>
    <w:rsid w:val="006C1853"/>
    <w:rsid w:val="006C419D"/>
    <w:rsid w:val="006D44FE"/>
    <w:rsid w:val="006D45B3"/>
    <w:rsid w:val="006D56DD"/>
    <w:rsid w:val="006E3828"/>
    <w:rsid w:val="006F1161"/>
    <w:rsid w:val="006F6236"/>
    <w:rsid w:val="007008B0"/>
    <w:rsid w:val="007010DC"/>
    <w:rsid w:val="00701E9D"/>
    <w:rsid w:val="0070436E"/>
    <w:rsid w:val="00707239"/>
    <w:rsid w:val="00712FA9"/>
    <w:rsid w:val="00713ADC"/>
    <w:rsid w:val="0072463C"/>
    <w:rsid w:val="00725B69"/>
    <w:rsid w:val="00746209"/>
    <w:rsid w:val="00754C83"/>
    <w:rsid w:val="00761074"/>
    <w:rsid w:val="00763037"/>
    <w:rsid w:val="007660F4"/>
    <w:rsid w:val="00770448"/>
    <w:rsid w:val="00770975"/>
    <w:rsid w:val="007833CE"/>
    <w:rsid w:val="00785117"/>
    <w:rsid w:val="007924E3"/>
    <w:rsid w:val="007944F9"/>
    <w:rsid w:val="00794E1F"/>
    <w:rsid w:val="00794F8D"/>
    <w:rsid w:val="007A0DFE"/>
    <w:rsid w:val="007B2BD6"/>
    <w:rsid w:val="007B4F45"/>
    <w:rsid w:val="007C11D2"/>
    <w:rsid w:val="007D6182"/>
    <w:rsid w:val="007D6B34"/>
    <w:rsid w:val="007E099A"/>
    <w:rsid w:val="007E0D2B"/>
    <w:rsid w:val="007E65DF"/>
    <w:rsid w:val="007F1F28"/>
    <w:rsid w:val="007F2535"/>
    <w:rsid w:val="008037FB"/>
    <w:rsid w:val="00806CAA"/>
    <w:rsid w:val="00811332"/>
    <w:rsid w:val="00813833"/>
    <w:rsid w:val="00814A04"/>
    <w:rsid w:val="00816ACC"/>
    <w:rsid w:val="00817CC1"/>
    <w:rsid w:val="0082386B"/>
    <w:rsid w:val="00824531"/>
    <w:rsid w:val="008307BB"/>
    <w:rsid w:val="00835900"/>
    <w:rsid w:val="0083621A"/>
    <w:rsid w:val="00844C88"/>
    <w:rsid w:val="00846A7E"/>
    <w:rsid w:val="00847015"/>
    <w:rsid w:val="00847DDA"/>
    <w:rsid w:val="008533CD"/>
    <w:rsid w:val="00856719"/>
    <w:rsid w:val="00857F4F"/>
    <w:rsid w:val="00867DD0"/>
    <w:rsid w:val="0087004C"/>
    <w:rsid w:val="008778EE"/>
    <w:rsid w:val="00895A9D"/>
    <w:rsid w:val="0089603C"/>
    <w:rsid w:val="008A29A8"/>
    <w:rsid w:val="008B13C2"/>
    <w:rsid w:val="008B1C9B"/>
    <w:rsid w:val="008C29CE"/>
    <w:rsid w:val="008C3D3B"/>
    <w:rsid w:val="008C509A"/>
    <w:rsid w:val="008D002C"/>
    <w:rsid w:val="008D221C"/>
    <w:rsid w:val="008D626A"/>
    <w:rsid w:val="008D6B71"/>
    <w:rsid w:val="008E40D0"/>
    <w:rsid w:val="008E4F7D"/>
    <w:rsid w:val="0090190B"/>
    <w:rsid w:val="0091123F"/>
    <w:rsid w:val="00917A9F"/>
    <w:rsid w:val="00920CFB"/>
    <w:rsid w:val="0092202B"/>
    <w:rsid w:val="009243AB"/>
    <w:rsid w:val="00927A1A"/>
    <w:rsid w:val="009309D3"/>
    <w:rsid w:val="00932B7B"/>
    <w:rsid w:val="009364AB"/>
    <w:rsid w:val="00940BCE"/>
    <w:rsid w:val="00944143"/>
    <w:rsid w:val="00954CC6"/>
    <w:rsid w:val="00955B6A"/>
    <w:rsid w:val="0096304F"/>
    <w:rsid w:val="00964D3B"/>
    <w:rsid w:val="00964D9F"/>
    <w:rsid w:val="0097185D"/>
    <w:rsid w:val="009728A9"/>
    <w:rsid w:val="009755BE"/>
    <w:rsid w:val="0097595D"/>
    <w:rsid w:val="00975DEB"/>
    <w:rsid w:val="009816B6"/>
    <w:rsid w:val="009843F5"/>
    <w:rsid w:val="009A18CD"/>
    <w:rsid w:val="009A3ECF"/>
    <w:rsid w:val="009A636C"/>
    <w:rsid w:val="009B7D4B"/>
    <w:rsid w:val="009C12B8"/>
    <w:rsid w:val="009C3766"/>
    <w:rsid w:val="009C4A2A"/>
    <w:rsid w:val="009C53C1"/>
    <w:rsid w:val="009C7251"/>
    <w:rsid w:val="009C7963"/>
    <w:rsid w:val="009D10BE"/>
    <w:rsid w:val="009D1F00"/>
    <w:rsid w:val="009D355E"/>
    <w:rsid w:val="009D62C6"/>
    <w:rsid w:val="009D7EA9"/>
    <w:rsid w:val="009D7FA3"/>
    <w:rsid w:val="009E0201"/>
    <w:rsid w:val="009E16A0"/>
    <w:rsid w:val="009E5D9D"/>
    <w:rsid w:val="009E5E04"/>
    <w:rsid w:val="009F0142"/>
    <w:rsid w:val="00A0236B"/>
    <w:rsid w:val="00A057C0"/>
    <w:rsid w:val="00A103B2"/>
    <w:rsid w:val="00A130B3"/>
    <w:rsid w:val="00A1377D"/>
    <w:rsid w:val="00A14146"/>
    <w:rsid w:val="00A15F6E"/>
    <w:rsid w:val="00A172F6"/>
    <w:rsid w:val="00A17F9C"/>
    <w:rsid w:val="00A21F6C"/>
    <w:rsid w:val="00A22B5B"/>
    <w:rsid w:val="00A31066"/>
    <w:rsid w:val="00A40321"/>
    <w:rsid w:val="00A43836"/>
    <w:rsid w:val="00A500E0"/>
    <w:rsid w:val="00A527C9"/>
    <w:rsid w:val="00A56A07"/>
    <w:rsid w:val="00A602FB"/>
    <w:rsid w:val="00A6479A"/>
    <w:rsid w:val="00A716C2"/>
    <w:rsid w:val="00A818E5"/>
    <w:rsid w:val="00A82034"/>
    <w:rsid w:val="00A824A6"/>
    <w:rsid w:val="00A828DE"/>
    <w:rsid w:val="00A846C2"/>
    <w:rsid w:val="00A8741B"/>
    <w:rsid w:val="00A874C9"/>
    <w:rsid w:val="00A922C3"/>
    <w:rsid w:val="00A955D8"/>
    <w:rsid w:val="00A96F97"/>
    <w:rsid w:val="00AA43EE"/>
    <w:rsid w:val="00AA56B4"/>
    <w:rsid w:val="00AA640E"/>
    <w:rsid w:val="00AB1BD9"/>
    <w:rsid w:val="00AB5A87"/>
    <w:rsid w:val="00AC4443"/>
    <w:rsid w:val="00AC7193"/>
    <w:rsid w:val="00AD067A"/>
    <w:rsid w:val="00AD1F00"/>
    <w:rsid w:val="00AD2D2C"/>
    <w:rsid w:val="00AD7359"/>
    <w:rsid w:val="00AF7C4B"/>
    <w:rsid w:val="00B00754"/>
    <w:rsid w:val="00B11F15"/>
    <w:rsid w:val="00B16804"/>
    <w:rsid w:val="00B169EB"/>
    <w:rsid w:val="00B204D0"/>
    <w:rsid w:val="00B216D9"/>
    <w:rsid w:val="00B22DA0"/>
    <w:rsid w:val="00B231B8"/>
    <w:rsid w:val="00B26714"/>
    <w:rsid w:val="00B35BF7"/>
    <w:rsid w:val="00B40C21"/>
    <w:rsid w:val="00B42614"/>
    <w:rsid w:val="00B43308"/>
    <w:rsid w:val="00B448E3"/>
    <w:rsid w:val="00B465F3"/>
    <w:rsid w:val="00B54AE6"/>
    <w:rsid w:val="00B62E28"/>
    <w:rsid w:val="00B7093D"/>
    <w:rsid w:val="00B73555"/>
    <w:rsid w:val="00B73A26"/>
    <w:rsid w:val="00B7737D"/>
    <w:rsid w:val="00B823B8"/>
    <w:rsid w:val="00B879DA"/>
    <w:rsid w:val="00B95CA9"/>
    <w:rsid w:val="00BA18D7"/>
    <w:rsid w:val="00BA1B38"/>
    <w:rsid w:val="00BA1FFA"/>
    <w:rsid w:val="00BA2A10"/>
    <w:rsid w:val="00BA50CB"/>
    <w:rsid w:val="00BA6198"/>
    <w:rsid w:val="00BB1672"/>
    <w:rsid w:val="00BC1A2A"/>
    <w:rsid w:val="00BC4CE1"/>
    <w:rsid w:val="00BC5A40"/>
    <w:rsid w:val="00BD631F"/>
    <w:rsid w:val="00BE561F"/>
    <w:rsid w:val="00BE5A83"/>
    <w:rsid w:val="00BF52D6"/>
    <w:rsid w:val="00C05CC0"/>
    <w:rsid w:val="00C10DD7"/>
    <w:rsid w:val="00C1294D"/>
    <w:rsid w:val="00C12AA2"/>
    <w:rsid w:val="00C16E81"/>
    <w:rsid w:val="00C16F05"/>
    <w:rsid w:val="00C17642"/>
    <w:rsid w:val="00C230F7"/>
    <w:rsid w:val="00C24024"/>
    <w:rsid w:val="00C3177A"/>
    <w:rsid w:val="00C35916"/>
    <w:rsid w:val="00C415AB"/>
    <w:rsid w:val="00C4620B"/>
    <w:rsid w:val="00C4717C"/>
    <w:rsid w:val="00C64A3C"/>
    <w:rsid w:val="00C64E84"/>
    <w:rsid w:val="00C7135E"/>
    <w:rsid w:val="00C715CD"/>
    <w:rsid w:val="00C7164E"/>
    <w:rsid w:val="00C7573A"/>
    <w:rsid w:val="00C869D6"/>
    <w:rsid w:val="00C90D11"/>
    <w:rsid w:val="00C92940"/>
    <w:rsid w:val="00C93B56"/>
    <w:rsid w:val="00C95DC7"/>
    <w:rsid w:val="00CA678B"/>
    <w:rsid w:val="00CA6F7F"/>
    <w:rsid w:val="00CA718B"/>
    <w:rsid w:val="00CA7871"/>
    <w:rsid w:val="00CB051D"/>
    <w:rsid w:val="00CB2C62"/>
    <w:rsid w:val="00CB697D"/>
    <w:rsid w:val="00CB7540"/>
    <w:rsid w:val="00CD5DAA"/>
    <w:rsid w:val="00CE0E86"/>
    <w:rsid w:val="00CF0258"/>
    <w:rsid w:val="00CF3EC0"/>
    <w:rsid w:val="00D03462"/>
    <w:rsid w:val="00D061E6"/>
    <w:rsid w:val="00D07ABA"/>
    <w:rsid w:val="00D101D2"/>
    <w:rsid w:val="00D153EA"/>
    <w:rsid w:val="00D164A5"/>
    <w:rsid w:val="00D17FCE"/>
    <w:rsid w:val="00D2131B"/>
    <w:rsid w:val="00D219EE"/>
    <w:rsid w:val="00D22719"/>
    <w:rsid w:val="00D34B90"/>
    <w:rsid w:val="00D44372"/>
    <w:rsid w:val="00D45ECE"/>
    <w:rsid w:val="00D56F36"/>
    <w:rsid w:val="00D60348"/>
    <w:rsid w:val="00D62827"/>
    <w:rsid w:val="00D660F3"/>
    <w:rsid w:val="00D67F69"/>
    <w:rsid w:val="00D70219"/>
    <w:rsid w:val="00D70310"/>
    <w:rsid w:val="00D828C3"/>
    <w:rsid w:val="00D84282"/>
    <w:rsid w:val="00D873BB"/>
    <w:rsid w:val="00DA1467"/>
    <w:rsid w:val="00DA3E04"/>
    <w:rsid w:val="00DB50C7"/>
    <w:rsid w:val="00DB609A"/>
    <w:rsid w:val="00DC14B4"/>
    <w:rsid w:val="00DC1533"/>
    <w:rsid w:val="00DC353C"/>
    <w:rsid w:val="00DC7C66"/>
    <w:rsid w:val="00DD4937"/>
    <w:rsid w:val="00DD6664"/>
    <w:rsid w:val="00DE1C84"/>
    <w:rsid w:val="00DE77FE"/>
    <w:rsid w:val="00DF0E6E"/>
    <w:rsid w:val="00DF30F3"/>
    <w:rsid w:val="00DF5B50"/>
    <w:rsid w:val="00DF6069"/>
    <w:rsid w:val="00DF6FAA"/>
    <w:rsid w:val="00DF7452"/>
    <w:rsid w:val="00E0134C"/>
    <w:rsid w:val="00E04E20"/>
    <w:rsid w:val="00E10487"/>
    <w:rsid w:val="00E15753"/>
    <w:rsid w:val="00E16E7B"/>
    <w:rsid w:val="00E2545F"/>
    <w:rsid w:val="00E2642B"/>
    <w:rsid w:val="00E349F1"/>
    <w:rsid w:val="00E35248"/>
    <w:rsid w:val="00E43143"/>
    <w:rsid w:val="00E44522"/>
    <w:rsid w:val="00E47212"/>
    <w:rsid w:val="00E50BE8"/>
    <w:rsid w:val="00E523F5"/>
    <w:rsid w:val="00E548B6"/>
    <w:rsid w:val="00E55DF3"/>
    <w:rsid w:val="00E607B7"/>
    <w:rsid w:val="00E60C0F"/>
    <w:rsid w:val="00E645E6"/>
    <w:rsid w:val="00E67116"/>
    <w:rsid w:val="00E87410"/>
    <w:rsid w:val="00E8793C"/>
    <w:rsid w:val="00E92ACF"/>
    <w:rsid w:val="00E93E70"/>
    <w:rsid w:val="00EA002D"/>
    <w:rsid w:val="00EA21D5"/>
    <w:rsid w:val="00ED05BC"/>
    <w:rsid w:val="00EE0253"/>
    <w:rsid w:val="00EE37F5"/>
    <w:rsid w:val="00EF20A2"/>
    <w:rsid w:val="00EF6B54"/>
    <w:rsid w:val="00EF7C68"/>
    <w:rsid w:val="00F02ED6"/>
    <w:rsid w:val="00F03141"/>
    <w:rsid w:val="00F0697D"/>
    <w:rsid w:val="00F1032A"/>
    <w:rsid w:val="00F174B3"/>
    <w:rsid w:val="00F226A9"/>
    <w:rsid w:val="00F30EF4"/>
    <w:rsid w:val="00F355CF"/>
    <w:rsid w:val="00F37548"/>
    <w:rsid w:val="00F402CD"/>
    <w:rsid w:val="00F44DB3"/>
    <w:rsid w:val="00F44E82"/>
    <w:rsid w:val="00F4514F"/>
    <w:rsid w:val="00F5453D"/>
    <w:rsid w:val="00F55527"/>
    <w:rsid w:val="00F55F84"/>
    <w:rsid w:val="00F6071B"/>
    <w:rsid w:val="00F74BC2"/>
    <w:rsid w:val="00F77D51"/>
    <w:rsid w:val="00F83689"/>
    <w:rsid w:val="00F85064"/>
    <w:rsid w:val="00F90D74"/>
    <w:rsid w:val="00F937AB"/>
    <w:rsid w:val="00FA0D36"/>
    <w:rsid w:val="00FA31CA"/>
    <w:rsid w:val="00FA6837"/>
    <w:rsid w:val="00FA69EE"/>
    <w:rsid w:val="00FA6E30"/>
    <w:rsid w:val="00FC5CFA"/>
    <w:rsid w:val="00FC70A3"/>
    <w:rsid w:val="00FD15AB"/>
    <w:rsid w:val="00FD3CFB"/>
    <w:rsid w:val="00FD42D7"/>
    <w:rsid w:val="00FD58F1"/>
    <w:rsid w:val="00FE3C1F"/>
    <w:rsid w:val="00FE3DA8"/>
    <w:rsid w:val="00FE5B44"/>
    <w:rsid w:val="00FE7F26"/>
    <w:rsid w:val="00FF008D"/>
    <w:rsid w:val="00FF3E08"/>
    <w:rsid w:val="00FF41D4"/>
    <w:rsid w:val="00FF5C0B"/>
    <w:rsid w:val="020BE27F"/>
    <w:rsid w:val="02AA2426"/>
    <w:rsid w:val="02EE4213"/>
    <w:rsid w:val="035292DB"/>
    <w:rsid w:val="03AA7C00"/>
    <w:rsid w:val="042036D4"/>
    <w:rsid w:val="0506C303"/>
    <w:rsid w:val="050F158E"/>
    <w:rsid w:val="06497EEB"/>
    <w:rsid w:val="06765D97"/>
    <w:rsid w:val="0715F88F"/>
    <w:rsid w:val="07C996FC"/>
    <w:rsid w:val="0846DA91"/>
    <w:rsid w:val="084CE702"/>
    <w:rsid w:val="08766262"/>
    <w:rsid w:val="08906E64"/>
    <w:rsid w:val="08D7BABE"/>
    <w:rsid w:val="0903812E"/>
    <w:rsid w:val="0914B4FD"/>
    <w:rsid w:val="09A9A2A0"/>
    <w:rsid w:val="09B3786D"/>
    <w:rsid w:val="09FEFB96"/>
    <w:rsid w:val="0A2FEC31"/>
    <w:rsid w:val="0A57D478"/>
    <w:rsid w:val="0AACFFF6"/>
    <w:rsid w:val="0B17DC88"/>
    <w:rsid w:val="0B278F21"/>
    <w:rsid w:val="0B5E9E4E"/>
    <w:rsid w:val="0B8AA073"/>
    <w:rsid w:val="0CD964FB"/>
    <w:rsid w:val="0D012318"/>
    <w:rsid w:val="0D3F2A64"/>
    <w:rsid w:val="0D71CF74"/>
    <w:rsid w:val="0E26AFCF"/>
    <w:rsid w:val="0E518D24"/>
    <w:rsid w:val="0E8BDCA1"/>
    <w:rsid w:val="0F7A569A"/>
    <w:rsid w:val="0F89E88F"/>
    <w:rsid w:val="0F8BF69B"/>
    <w:rsid w:val="0FA56EB8"/>
    <w:rsid w:val="0FAA78B5"/>
    <w:rsid w:val="0FB8F978"/>
    <w:rsid w:val="1069A721"/>
    <w:rsid w:val="10A2E4D4"/>
    <w:rsid w:val="10E401B2"/>
    <w:rsid w:val="10E893CE"/>
    <w:rsid w:val="116BF20C"/>
    <w:rsid w:val="1172B245"/>
    <w:rsid w:val="1213CF55"/>
    <w:rsid w:val="12510633"/>
    <w:rsid w:val="12B62EE6"/>
    <w:rsid w:val="12DD7952"/>
    <w:rsid w:val="132551A5"/>
    <w:rsid w:val="134BAD5B"/>
    <w:rsid w:val="134ECB4A"/>
    <w:rsid w:val="139376E5"/>
    <w:rsid w:val="144CB39F"/>
    <w:rsid w:val="146CAB50"/>
    <w:rsid w:val="147235DF"/>
    <w:rsid w:val="15286528"/>
    <w:rsid w:val="15564CBC"/>
    <w:rsid w:val="1574DD96"/>
    <w:rsid w:val="1619F3F1"/>
    <w:rsid w:val="16A667B4"/>
    <w:rsid w:val="17045728"/>
    <w:rsid w:val="171F7EC8"/>
    <w:rsid w:val="180319A6"/>
    <w:rsid w:val="1808675F"/>
    <w:rsid w:val="180C079C"/>
    <w:rsid w:val="18D8B29C"/>
    <w:rsid w:val="193AA02D"/>
    <w:rsid w:val="195E757B"/>
    <w:rsid w:val="198A8735"/>
    <w:rsid w:val="1A620352"/>
    <w:rsid w:val="1A8B717D"/>
    <w:rsid w:val="1A8E83B8"/>
    <w:rsid w:val="1AC5F2ED"/>
    <w:rsid w:val="1ACEDDCC"/>
    <w:rsid w:val="1AE02C27"/>
    <w:rsid w:val="1B600078"/>
    <w:rsid w:val="1BEBD636"/>
    <w:rsid w:val="1CE2C7E3"/>
    <w:rsid w:val="1D123000"/>
    <w:rsid w:val="1D231AF0"/>
    <w:rsid w:val="1E20CC9F"/>
    <w:rsid w:val="1E677E0D"/>
    <w:rsid w:val="1EC6E618"/>
    <w:rsid w:val="1F446A72"/>
    <w:rsid w:val="1F5D4774"/>
    <w:rsid w:val="1F7DDDE0"/>
    <w:rsid w:val="1F9E8B15"/>
    <w:rsid w:val="1FB704D2"/>
    <w:rsid w:val="2001C17E"/>
    <w:rsid w:val="21C75B66"/>
    <w:rsid w:val="22333419"/>
    <w:rsid w:val="226EA06F"/>
    <w:rsid w:val="22E58439"/>
    <w:rsid w:val="22F768EB"/>
    <w:rsid w:val="23064899"/>
    <w:rsid w:val="233F1319"/>
    <w:rsid w:val="2345F22E"/>
    <w:rsid w:val="2357911C"/>
    <w:rsid w:val="236A26B9"/>
    <w:rsid w:val="2374247F"/>
    <w:rsid w:val="23FAFFDC"/>
    <w:rsid w:val="24167DA8"/>
    <w:rsid w:val="24ADC587"/>
    <w:rsid w:val="255C3EB4"/>
    <w:rsid w:val="25648200"/>
    <w:rsid w:val="257193AA"/>
    <w:rsid w:val="257A2020"/>
    <w:rsid w:val="25C676A8"/>
    <w:rsid w:val="25E04F05"/>
    <w:rsid w:val="26150FFE"/>
    <w:rsid w:val="2681D270"/>
    <w:rsid w:val="26D5DC77"/>
    <w:rsid w:val="273E54D5"/>
    <w:rsid w:val="275D877B"/>
    <w:rsid w:val="28227B40"/>
    <w:rsid w:val="287A073E"/>
    <w:rsid w:val="28A1A077"/>
    <w:rsid w:val="28A8E20F"/>
    <w:rsid w:val="28BF5E9A"/>
    <w:rsid w:val="29E3C79E"/>
    <w:rsid w:val="29E6BB93"/>
    <w:rsid w:val="29F4B101"/>
    <w:rsid w:val="2A5193BD"/>
    <w:rsid w:val="2A58E1AF"/>
    <w:rsid w:val="2A6E5FDA"/>
    <w:rsid w:val="2A7BF1F9"/>
    <w:rsid w:val="2AAC880F"/>
    <w:rsid w:val="2ABB5DB2"/>
    <w:rsid w:val="2AE9DFAE"/>
    <w:rsid w:val="2B6DEA1D"/>
    <w:rsid w:val="2BCCE100"/>
    <w:rsid w:val="2CA20B18"/>
    <w:rsid w:val="2CAEE830"/>
    <w:rsid w:val="2D65641B"/>
    <w:rsid w:val="2D673D0D"/>
    <w:rsid w:val="2DABD18C"/>
    <w:rsid w:val="2DB86657"/>
    <w:rsid w:val="2DC4D230"/>
    <w:rsid w:val="2DC5D973"/>
    <w:rsid w:val="2DC72CC4"/>
    <w:rsid w:val="2DE284ED"/>
    <w:rsid w:val="2E373FFF"/>
    <w:rsid w:val="2E715808"/>
    <w:rsid w:val="2EA0FDBF"/>
    <w:rsid w:val="2EC51E25"/>
    <w:rsid w:val="2F833584"/>
    <w:rsid w:val="2F9A61DE"/>
    <w:rsid w:val="2F9F563B"/>
    <w:rsid w:val="2FC85F23"/>
    <w:rsid w:val="2FD97105"/>
    <w:rsid w:val="3014E6F8"/>
    <w:rsid w:val="30E5B553"/>
    <w:rsid w:val="313893C8"/>
    <w:rsid w:val="3198C802"/>
    <w:rsid w:val="31E37B08"/>
    <w:rsid w:val="3274C64E"/>
    <w:rsid w:val="328B47DD"/>
    <w:rsid w:val="329F5125"/>
    <w:rsid w:val="32E95200"/>
    <w:rsid w:val="32E98C62"/>
    <w:rsid w:val="32F8EF1A"/>
    <w:rsid w:val="3382D6EA"/>
    <w:rsid w:val="33C2B37A"/>
    <w:rsid w:val="33E045F3"/>
    <w:rsid w:val="342FA86C"/>
    <w:rsid w:val="3438DEAD"/>
    <w:rsid w:val="34582380"/>
    <w:rsid w:val="34855435"/>
    <w:rsid w:val="34E97FB3"/>
    <w:rsid w:val="34FD7678"/>
    <w:rsid w:val="350571A9"/>
    <w:rsid w:val="35172C85"/>
    <w:rsid w:val="356FC11D"/>
    <w:rsid w:val="35D065E4"/>
    <w:rsid w:val="365249C0"/>
    <w:rsid w:val="365D1FE3"/>
    <w:rsid w:val="3668C009"/>
    <w:rsid w:val="3698F15D"/>
    <w:rsid w:val="36CD376D"/>
    <w:rsid w:val="372754E2"/>
    <w:rsid w:val="3757BD68"/>
    <w:rsid w:val="37711658"/>
    <w:rsid w:val="37FD8B59"/>
    <w:rsid w:val="382F846D"/>
    <w:rsid w:val="38B6BD52"/>
    <w:rsid w:val="38C2FDCC"/>
    <w:rsid w:val="394E3780"/>
    <w:rsid w:val="395B6DFB"/>
    <w:rsid w:val="3969FBC7"/>
    <w:rsid w:val="3992EE68"/>
    <w:rsid w:val="39B95995"/>
    <w:rsid w:val="3A6B5B5E"/>
    <w:rsid w:val="3AAE93E8"/>
    <w:rsid w:val="3ACED552"/>
    <w:rsid w:val="3AD9076B"/>
    <w:rsid w:val="3B2A2362"/>
    <w:rsid w:val="3B7CB501"/>
    <w:rsid w:val="3B7EACB5"/>
    <w:rsid w:val="3C859F15"/>
    <w:rsid w:val="3C9EFD01"/>
    <w:rsid w:val="3CA0B031"/>
    <w:rsid w:val="3CA588CF"/>
    <w:rsid w:val="3CACF508"/>
    <w:rsid w:val="3CC1CEC5"/>
    <w:rsid w:val="3CC4CAB2"/>
    <w:rsid w:val="3CDB0286"/>
    <w:rsid w:val="3E017EF4"/>
    <w:rsid w:val="3E48BF3E"/>
    <w:rsid w:val="3E8D947D"/>
    <w:rsid w:val="3EA73683"/>
    <w:rsid w:val="3ED0D264"/>
    <w:rsid w:val="3F04F2CB"/>
    <w:rsid w:val="3F50409D"/>
    <w:rsid w:val="3FC6B2E0"/>
    <w:rsid w:val="3FDB0883"/>
    <w:rsid w:val="401AA73B"/>
    <w:rsid w:val="4035789E"/>
    <w:rsid w:val="4071F029"/>
    <w:rsid w:val="409C33F1"/>
    <w:rsid w:val="40A118BD"/>
    <w:rsid w:val="411B439F"/>
    <w:rsid w:val="41505A08"/>
    <w:rsid w:val="41C4E66E"/>
    <w:rsid w:val="431CCFFA"/>
    <w:rsid w:val="439246C7"/>
    <w:rsid w:val="44827925"/>
    <w:rsid w:val="4494432D"/>
    <w:rsid w:val="44FA7E62"/>
    <w:rsid w:val="458CF1C2"/>
    <w:rsid w:val="458F750A"/>
    <w:rsid w:val="45CB139D"/>
    <w:rsid w:val="45E9831B"/>
    <w:rsid w:val="460CD0C0"/>
    <w:rsid w:val="46513B69"/>
    <w:rsid w:val="46574490"/>
    <w:rsid w:val="46ECEB22"/>
    <w:rsid w:val="472126E8"/>
    <w:rsid w:val="473BA4E3"/>
    <w:rsid w:val="476DD84D"/>
    <w:rsid w:val="47B8F391"/>
    <w:rsid w:val="47D1889F"/>
    <w:rsid w:val="484E723B"/>
    <w:rsid w:val="488D8854"/>
    <w:rsid w:val="491C9607"/>
    <w:rsid w:val="49319B4F"/>
    <w:rsid w:val="4AEE472B"/>
    <w:rsid w:val="4B48F434"/>
    <w:rsid w:val="4B4D3E37"/>
    <w:rsid w:val="4B5B7C68"/>
    <w:rsid w:val="4BD43534"/>
    <w:rsid w:val="4BF6073F"/>
    <w:rsid w:val="4C525676"/>
    <w:rsid w:val="4C65A28F"/>
    <w:rsid w:val="4C7600D2"/>
    <w:rsid w:val="4CBE9C37"/>
    <w:rsid w:val="4CEB3660"/>
    <w:rsid w:val="4D91CB93"/>
    <w:rsid w:val="4DB6F122"/>
    <w:rsid w:val="4DD00BCD"/>
    <w:rsid w:val="4E3521AF"/>
    <w:rsid w:val="4E5201D2"/>
    <w:rsid w:val="4E924ED6"/>
    <w:rsid w:val="4EAF07BB"/>
    <w:rsid w:val="4F0FD07B"/>
    <w:rsid w:val="4F1E4524"/>
    <w:rsid w:val="4F7A93D7"/>
    <w:rsid w:val="4FBBD876"/>
    <w:rsid w:val="4FD67A26"/>
    <w:rsid w:val="4FF706AC"/>
    <w:rsid w:val="503FAFA2"/>
    <w:rsid w:val="50BA9CF8"/>
    <w:rsid w:val="5126090A"/>
    <w:rsid w:val="514531F1"/>
    <w:rsid w:val="5193BDEE"/>
    <w:rsid w:val="51977817"/>
    <w:rsid w:val="51B59DD5"/>
    <w:rsid w:val="51C2EF29"/>
    <w:rsid w:val="51F77D7C"/>
    <w:rsid w:val="520A5FBC"/>
    <w:rsid w:val="521A5817"/>
    <w:rsid w:val="528E361B"/>
    <w:rsid w:val="52EE37F9"/>
    <w:rsid w:val="52F7F78A"/>
    <w:rsid w:val="5319164D"/>
    <w:rsid w:val="531C74FF"/>
    <w:rsid w:val="5351352D"/>
    <w:rsid w:val="53D2D07B"/>
    <w:rsid w:val="54456C1C"/>
    <w:rsid w:val="547FC280"/>
    <w:rsid w:val="5490EDCF"/>
    <w:rsid w:val="54B02192"/>
    <w:rsid w:val="54E638AE"/>
    <w:rsid w:val="54EB1643"/>
    <w:rsid w:val="54FBFF5F"/>
    <w:rsid w:val="5502C9BE"/>
    <w:rsid w:val="5527132A"/>
    <w:rsid w:val="556FDB9F"/>
    <w:rsid w:val="55BF6BC4"/>
    <w:rsid w:val="55FBFFBC"/>
    <w:rsid w:val="561F6A69"/>
    <w:rsid w:val="56A2AD5B"/>
    <w:rsid w:val="5718C395"/>
    <w:rsid w:val="574D668B"/>
    <w:rsid w:val="578B3F23"/>
    <w:rsid w:val="57BD8A97"/>
    <w:rsid w:val="57C01011"/>
    <w:rsid w:val="57EDED54"/>
    <w:rsid w:val="583893D5"/>
    <w:rsid w:val="5851ADD0"/>
    <w:rsid w:val="5887D057"/>
    <w:rsid w:val="593CB3C2"/>
    <w:rsid w:val="59623932"/>
    <w:rsid w:val="59BD1AF0"/>
    <w:rsid w:val="59D74C4B"/>
    <w:rsid w:val="59FE79E0"/>
    <w:rsid w:val="5A6325AD"/>
    <w:rsid w:val="5A9B7960"/>
    <w:rsid w:val="5AD91F7D"/>
    <w:rsid w:val="5AFAEA85"/>
    <w:rsid w:val="5B9FF078"/>
    <w:rsid w:val="5BB6B344"/>
    <w:rsid w:val="5C24BFDB"/>
    <w:rsid w:val="5C59B72F"/>
    <w:rsid w:val="5C93B7C9"/>
    <w:rsid w:val="5CC22B29"/>
    <w:rsid w:val="5CCE5B53"/>
    <w:rsid w:val="5CFFC6E0"/>
    <w:rsid w:val="5D4137D8"/>
    <w:rsid w:val="5D6AC745"/>
    <w:rsid w:val="5D99972C"/>
    <w:rsid w:val="5DBF2079"/>
    <w:rsid w:val="5DEADE99"/>
    <w:rsid w:val="5E02F25A"/>
    <w:rsid w:val="5E4634ED"/>
    <w:rsid w:val="5E785695"/>
    <w:rsid w:val="5EB262CD"/>
    <w:rsid w:val="5F05B86C"/>
    <w:rsid w:val="5F557D2F"/>
    <w:rsid w:val="5F8F4F09"/>
    <w:rsid w:val="5F9A29B7"/>
    <w:rsid w:val="5FA12C1F"/>
    <w:rsid w:val="5FC26F09"/>
    <w:rsid w:val="5FC45AD2"/>
    <w:rsid w:val="600BCE93"/>
    <w:rsid w:val="60DDF44C"/>
    <w:rsid w:val="61114A72"/>
    <w:rsid w:val="6138C8F7"/>
    <w:rsid w:val="6143B72E"/>
    <w:rsid w:val="61C03CF0"/>
    <w:rsid w:val="63085B66"/>
    <w:rsid w:val="6322321C"/>
    <w:rsid w:val="635A6E42"/>
    <w:rsid w:val="639306B5"/>
    <w:rsid w:val="63BDCBEC"/>
    <w:rsid w:val="63F20BF1"/>
    <w:rsid w:val="63FF7E63"/>
    <w:rsid w:val="649B796A"/>
    <w:rsid w:val="64EE16D2"/>
    <w:rsid w:val="650CCD16"/>
    <w:rsid w:val="6587DD80"/>
    <w:rsid w:val="65B3415C"/>
    <w:rsid w:val="65C39999"/>
    <w:rsid w:val="668FEB67"/>
    <w:rsid w:val="66A19504"/>
    <w:rsid w:val="66B5ADB3"/>
    <w:rsid w:val="6712EF08"/>
    <w:rsid w:val="673562EB"/>
    <w:rsid w:val="6740DD89"/>
    <w:rsid w:val="67B32C73"/>
    <w:rsid w:val="67FB8956"/>
    <w:rsid w:val="6893C9C4"/>
    <w:rsid w:val="68E8218D"/>
    <w:rsid w:val="69A382FC"/>
    <w:rsid w:val="69CE42CC"/>
    <w:rsid w:val="6A1E3A21"/>
    <w:rsid w:val="6A90917F"/>
    <w:rsid w:val="6ABD2FCC"/>
    <w:rsid w:val="6ACAB6F8"/>
    <w:rsid w:val="6ADC1D18"/>
    <w:rsid w:val="6AE03230"/>
    <w:rsid w:val="6B6A6A40"/>
    <w:rsid w:val="6B71F3D8"/>
    <w:rsid w:val="6C2AE116"/>
    <w:rsid w:val="6C431167"/>
    <w:rsid w:val="6C743FA8"/>
    <w:rsid w:val="6C81B074"/>
    <w:rsid w:val="6C9301CE"/>
    <w:rsid w:val="6CA01E40"/>
    <w:rsid w:val="6CF37CF4"/>
    <w:rsid w:val="6DB9676E"/>
    <w:rsid w:val="6DD2396B"/>
    <w:rsid w:val="6DFB3056"/>
    <w:rsid w:val="6E19C4AD"/>
    <w:rsid w:val="6E1E5F0A"/>
    <w:rsid w:val="6E9FAA7D"/>
    <w:rsid w:val="6EA4C6E4"/>
    <w:rsid w:val="6F015605"/>
    <w:rsid w:val="6F122795"/>
    <w:rsid w:val="6FEDDA5A"/>
    <w:rsid w:val="70146FDB"/>
    <w:rsid w:val="7066958F"/>
    <w:rsid w:val="707C89D4"/>
    <w:rsid w:val="708891B0"/>
    <w:rsid w:val="70C56A27"/>
    <w:rsid w:val="70FBB057"/>
    <w:rsid w:val="7113CB01"/>
    <w:rsid w:val="7124601A"/>
    <w:rsid w:val="7190D07C"/>
    <w:rsid w:val="71E77A48"/>
    <w:rsid w:val="72644178"/>
    <w:rsid w:val="72742BB5"/>
    <w:rsid w:val="73432189"/>
    <w:rsid w:val="73E81180"/>
    <w:rsid w:val="74087241"/>
    <w:rsid w:val="74167294"/>
    <w:rsid w:val="74B3E044"/>
    <w:rsid w:val="74DB5E38"/>
    <w:rsid w:val="74EFCC77"/>
    <w:rsid w:val="7529CF01"/>
    <w:rsid w:val="7534433E"/>
    <w:rsid w:val="75A58D4C"/>
    <w:rsid w:val="75A84358"/>
    <w:rsid w:val="75E26E10"/>
    <w:rsid w:val="75F106EB"/>
    <w:rsid w:val="7651E0DD"/>
    <w:rsid w:val="768B23D8"/>
    <w:rsid w:val="76BFF9C6"/>
    <w:rsid w:val="76EB2620"/>
    <w:rsid w:val="76F7280B"/>
    <w:rsid w:val="77484113"/>
    <w:rsid w:val="7775FBD9"/>
    <w:rsid w:val="778CCC34"/>
    <w:rsid w:val="77D6C643"/>
    <w:rsid w:val="784308E2"/>
    <w:rsid w:val="78E1B419"/>
    <w:rsid w:val="78F29149"/>
    <w:rsid w:val="7A08057F"/>
    <w:rsid w:val="7A35E54F"/>
    <w:rsid w:val="7A6F9D7E"/>
    <w:rsid w:val="7AAEBFEB"/>
    <w:rsid w:val="7AF879DB"/>
    <w:rsid w:val="7BE11AD3"/>
    <w:rsid w:val="7C434652"/>
    <w:rsid w:val="7C5E63B4"/>
    <w:rsid w:val="7CF1E181"/>
    <w:rsid w:val="7D02D87A"/>
    <w:rsid w:val="7D1949D4"/>
    <w:rsid w:val="7D851003"/>
    <w:rsid w:val="7DEC5DC4"/>
    <w:rsid w:val="7DF5B5B7"/>
    <w:rsid w:val="7E03685D"/>
    <w:rsid w:val="7E6221D5"/>
    <w:rsid w:val="7E908E51"/>
    <w:rsid w:val="7ED17B9C"/>
    <w:rsid w:val="7F3DFED8"/>
    <w:rsid w:val="7F5F4C21"/>
    <w:rsid w:val="7FE2C746"/>
    <w:rsid w:val="7FE6C0D8"/>
    <w:rsid w:val="7FFE629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10F45"/>
  <w15:chartTrackingRefBased/>
  <w15:docId w15:val="{E45D95BA-67A2-44B7-9EF8-6317E415E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53A94"/>
  </w:style>
  <w:style w:type="paragraph" w:styleId="Heading1">
    <w:name w:val="heading 1"/>
    <w:basedOn w:val="Normal"/>
    <w:next w:val="Normal"/>
    <w:link w:val="Heading1Char"/>
    <w:uiPriority w:val="9"/>
    <w:rsid w:val="0077097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rsid w:val="0077097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7097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77097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7">
    <w:name w:val="heading 7"/>
    <w:basedOn w:val="Normal"/>
    <w:next w:val="Normal"/>
    <w:link w:val="Heading7Char"/>
    <w:uiPriority w:val="9"/>
    <w:semiHidden/>
    <w:unhideWhenUsed/>
    <w:qFormat/>
    <w:rsid w:val="00575D01"/>
    <w:pPr>
      <w:keepNext/>
      <w:keepLines/>
      <w:numPr>
        <w:ilvl w:val="6"/>
        <w:numId w:val="4"/>
      </w:numPr>
      <w:spacing w:before="40" w:after="0" w:line="240" w:lineRule="auto"/>
      <w:outlineLvl w:val="6"/>
    </w:pPr>
    <w:rPr>
      <w:rFonts w:asciiTheme="majorHAnsi" w:eastAsiaTheme="majorEastAsia" w:hAnsiTheme="majorHAnsi" w:cstheme="majorBidi"/>
      <w:i/>
      <w:iCs/>
      <w:noProof/>
      <w:color w:val="1F4D78" w:themeColor="accent1" w:themeShade="7F"/>
      <w:kern w:val="22"/>
      <w:sz w:val="24"/>
      <w:szCs w:val="28"/>
    </w:rPr>
  </w:style>
  <w:style w:type="paragraph" w:styleId="Heading8">
    <w:name w:val="heading 8"/>
    <w:basedOn w:val="Normal"/>
    <w:next w:val="Normal"/>
    <w:link w:val="Heading8Char"/>
    <w:uiPriority w:val="9"/>
    <w:semiHidden/>
    <w:unhideWhenUsed/>
    <w:qFormat/>
    <w:rsid w:val="00575D01"/>
    <w:pPr>
      <w:keepNext/>
      <w:numPr>
        <w:ilvl w:val="7"/>
        <w:numId w:val="4"/>
      </w:numPr>
      <w:overflowPunct w:val="0"/>
      <w:autoSpaceDE w:val="0"/>
      <w:autoSpaceDN w:val="0"/>
      <w:adjustRightInd w:val="0"/>
      <w:spacing w:after="0" w:line="240" w:lineRule="auto"/>
      <w:outlineLvl w:val="7"/>
    </w:pPr>
    <w:rPr>
      <w:rFonts w:ascii="Arial" w:hAnsi="Arial"/>
      <w:b/>
      <w:noProof/>
      <w:color w:val="000000"/>
      <w:sz w:val="24"/>
      <w:szCs w:val="20"/>
      <w:lang w:val="en-US"/>
    </w:rPr>
  </w:style>
  <w:style w:type="paragraph" w:styleId="Heading9">
    <w:name w:val="heading 9"/>
    <w:basedOn w:val="Normal"/>
    <w:next w:val="Normal"/>
    <w:link w:val="Heading9Char"/>
    <w:uiPriority w:val="9"/>
    <w:semiHidden/>
    <w:unhideWhenUsed/>
    <w:qFormat/>
    <w:rsid w:val="00575D01"/>
    <w:pPr>
      <w:keepNext/>
      <w:keepLines/>
      <w:numPr>
        <w:ilvl w:val="8"/>
        <w:numId w:val="4"/>
      </w:numPr>
      <w:spacing w:before="40" w:after="0" w:line="240" w:lineRule="auto"/>
      <w:outlineLvl w:val="8"/>
    </w:pPr>
    <w:rPr>
      <w:rFonts w:asciiTheme="majorHAnsi" w:eastAsiaTheme="majorEastAsia" w:hAnsiTheme="majorHAnsi" w:cstheme="majorBidi"/>
      <w:i/>
      <w:iCs/>
      <w:noProof/>
      <w:color w:val="272727" w:themeColor="text1" w:themeTint="D8"/>
      <w:kern w:val="2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97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77097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770975"/>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770975"/>
    <w:rPr>
      <w:rFonts w:asciiTheme="majorHAnsi" w:eastAsiaTheme="majorEastAsia" w:hAnsiTheme="majorHAnsi" w:cstheme="majorBidi"/>
      <w:i/>
      <w:iCs/>
      <w:color w:val="2E74B5" w:themeColor="accent1" w:themeShade="BF"/>
    </w:rPr>
  </w:style>
  <w:style w:type="paragraph" w:customStyle="1" w:styleId="EHRMajorheading">
    <w:name w:val="EHR Major heading"/>
    <w:basedOn w:val="EHR-Sub-heading1"/>
    <w:next w:val="EHRBodytext"/>
    <w:link w:val="EHRMajorheadingChar"/>
    <w:qFormat/>
    <w:rsid w:val="00453E13"/>
    <w:pPr>
      <w:numPr>
        <w:ilvl w:val="0"/>
      </w:numPr>
      <w:spacing w:after="720"/>
      <w:ind w:right="-284"/>
      <w:outlineLvl w:val="0"/>
    </w:pPr>
    <w:rPr>
      <w:sz w:val="40"/>
    </w:rPr>
  </w:style>
  <w:style w:type="paragraph" w:customStyle="1" w:styleId="EHR-Sub-heading1">
    <w:name w:val="EHR - Sub-heading1"/>
    <w:basedOn w:val="Normal"/>
    <w:next w:val="EHRBodytext"/>
    <w:link w:val="EHR-Sub-heading1Char"/>
    <w:qFormat/>
    <w:rsid w:val="00E16E7B"/>
    <w:pPr>
      <w:numPr>
        <w:ilvl w:val="1"/>
        <w:numId w:val="2"/>
      </w:numPr>
      <w:spacing w:before="360" w:after="360" w:line="240" w:lineRule="auto"/>
      <w:outlineLvl w:val="1"/>
    </w:pPr>
    <w:rPr>
      <w:rFonts w:ascii="Arial" w:hAnsi="Arial" w:cs="Arial"/>
      <w:b/>
      <w:color w:val="2E74B5" w:themeColor="accent1" w:themeShade="BF"/>
      <w:sz w:val="28"/>
      <w:szCs w:val="24"/>
    </w:rPr>
  </w:style>
  <w:style w:type="paragraph" w:customStyle="1" w:styleId="EHRBodytext">
    <w:name w:val="EHR Body text"/>
    <w:basedOn w:val="Normal"/>
    <w:link w:val="EHRBodytextChar"/>
    <w:qFormat/>
    <w:rsid w:val="00526E2C"/>
    <w:pPr>
      <w:ind w:left="1134" w:hanging="1134"/>
    </w:pPr>
    <w:rPr>
      <w:rFonts w:ascii="Arial" w:hAnsi="Arial" w:cs="Arial"/>
      <w:sz w:val="24"/>
      <w:szCs w:val="24"/>
    </w:rPr>
  </w:style>
  <w:style w:type="character" w:customStyle="1" w:styleId="EHRBodytextChar">
    <w:name w:val="EHR Body text Char"/>
    <w:basedOn w:val="DefaultParagraphFont"/>
    <w:link w:val="EHRBodytext"/>
    <w:rsid w:val="00526E2C"/>
    <w:rPr>
      <w:rFonts w:ascii="Arial" w:hAnsi="Arial" w:cs="Arial"/>
      <w:sz w:val="24"/>
      <w:szCs w:val="24"/>
    </w:rPr>
  </w:style>
  <w:style w:type="character" w:customStyle="1" w:styleId="EHR-Sub-heading1Char">
    <w:name w:val="EHR - Sub-heading1 Char"/>
    <w:basedOn w:val="DefaultParagraphFont"/>
    <w:link w:val="EHR-Sub-heading1"/>
    <w:rsid w:val="00E16E7B"/>
    <w:rPr>
      <w:rFonts w:ascii="Arial" w:hAnsi="Arial" w:cs="Arial"/>
      <w:b/>
      <w:color w:val="2E74B5" w:themeColor="accent1" w:themeShade="BF"/>
      <w:sz w:val="28"/>
      <w:szCs w:val="24"/>
    </w:rPr>
  </w:style>
  <w:style w:type="character" w:customStyle="1" w:styleId="EHRMajorheadingChar">
    <w:name w:val="EHR Major heading Char"/>
    <w:basedOn w:val="DefaultParagraphFont"/>
    <w:link w:val="EHRMajorheading"/>
    <w:rsid w:val="00453E13"/>
    <w:rPr>
      <w:rFonts w:ascii="Arial" w:hAnsi="Arial" w:cs="Arial"/>
      <w:b/>
      <w:color w:val="2E74B5" w:themeColor="accent1" w:themeShade="BF"/>
      <w:sz w:val="40"/>
      <w:szCs w:val="24"/>
    </w:rPr>
  </w:style>
  <w:style w:type="paragraph" w:customStyle="1" w:styleId="EHRSub-heading2">
    <w:name w:val="EHR Sub-heading2"/>
    <w:basedOn w:val="Normal"/>
    <w:next w:val="EHRSL2Body"/>
    <w:link w:val="EHRSub-heading2Char"/>
    <w:qFormat/>
    <w:rsid w:val="00847DDA"/>
    <w:pPr>
      <w:numPr>
        <w:ilvl w:val="3"/>
        <w:numId w:val="2"/>
      </w:numPr>
    </w:pPr>
    <w:rPr>
      <w:rFonts w:ascii="Arial" w:hAnsi="Arial" w:cs="Arial"/>
      <w:b/>
      <w:sz w:val="24"/>
      <w:szCs w:val="24"/>
    </w:rPr>
  </w:style>
  <w:style w:type="paragraph" w:customStyle="1" w:styleId="EHRSL2Body">
    <w:name w:val="EHR SL2 Body"/>
    <w:basedOn w:val="EHRBodytext"/>
    <w:link w:val="EHRSL2BodyChar"/>
    <w:qFormat/>
    <w:rsid w:val="00BA6198"/>
    <w:pPr>
      <w:numPr>
        <w:ilvl w:val="4"/>
      </w:numPr>
      <w:ind w:left="1134" w:hanging="1134"/>
    </w:pPr>
  </w:style>
  <w:style w:type="character" w:customStyle="1" w:styleId="EHRSL2BodyChar">
    <w:name w:val="EHR SL2 Body Char"/>
    <w:basedOn w:val="EHRBodytextChar"/>
    <w:link w:val="EHRSL2Body"/>
    <w:rsid w:val="00BA6198"/>
    <w:rPr>
      <w:rFonts w:ascii="Arial" w:hAnsi="Arial" w:cs="Arial"/>
      <w:sz w:val="24"/>
      <w:szCs w:val="24"/>
    </w:rPr>
  </w:style>
  <w:style w:type="character" w:customStyle="1" w:styleId="EHRSub-heading2Char">
    <w:name w:val="EHR Sub-heading2 Char"/>
    <w:basedOn w:val="DefaultParagraphFont"/>
    <w:link w:val="EHRSub-heading2"/>
    <w:rsid w:val="00847DDA"/>
    <w:rPr>
      <w:rFonts w:ascii="Arial" w:hAnsi="Arial" w:cs="Arial"/>
      <w:b/>
      <w:sz w:val="24"/>
      <w:szCs w:val="24"/>
    </w:rPr>
  </w:style>
  <w:style w:type="paragraph" w:styleId="ListParagraph">
    <w:name w:val="List Paragraph"/>
    <w:basedOn w:val="Normal"/>
    <w:link w:val="ListParagraphChar"/>
    <w:uiPriority w:val="34"/>
    <w:qFormat/>
    <w:rsid w:val="00847DDA"/>
    <w:pPr>
      <w:ind w:left="720"/>
      <w:contextualSpacing/>
    </w:pPr>
  </w:style>
  <w:style w:type="character" w:customStyle="1" w:styleId="ListParagraphChar">
    <w:name w:val="List Paragraph Char"/>
    <w:basedOn w:val="DefaultParagraphFont"/>
    <w:link w:val="ListParagraph"/>
    <w:uiPriority w:val="34"/>
    <w:rsid w:val="00847DDA"/>
  </w:style>
  <w:style w:type="paragraph" w:customStyle="1" w:styleId="EHRBulletlist">
    <w:name w:val="EHR Bullet list"/>
    <w:basedOn w:val="ListParagraph"/>
    <w:next w:val="EHRBodytext"/>
    <w:link w:val="EHRBulletlistChar"/>
    <w:rsid w:val="00F03141"/>
    <w:pPr>
      <w:ind w:left="0"/>
      <w:contextualSpacing w:val="0"/>
    </w:pPr>
    <w:rPr>
      <w:rFonts w:ascii="Arial" w:hAnsi="Arial" w:cs="Arial"/>
      <w:sz w:val="24"/>
      <w:szCs w:val="24"/>
    </w:rPr>
  </w:style>
  <w:style w:type="character" w:customStyle="1" w:styleId="EHRBulletlistChar">
    <w:name w:val="EHR Bullet list Char"/>
    <w:basedOn w:val="ListParagraphChar"/>
    <w:link w:val="EHRBulletlist"/>
    <w:rsid w:val="00F03141"/>
    <w:rPr>
      <w:rFonts w:ascii="Arial" w:hAnsi="Arial" w:cs="Arial"/>
      <w:sz w:val="24"/>
      <w:szCs w:val="24"/>
    </w:rPr>
  </w:style>
  <w:style w:type="paragraph" w:customStyle="1" w:styleId="EHRFigure">
    <w:name w:val="EHR Figure"/>
    <w:basedOn w:val="Normal"/>
    <w:next w:val="EHRBodytext"/>
    <w:link w:val="EHRFigureChar"/>
    <w:qFormat/>
    <w:rsid w:val="00526E2C"/>
    <w:pPr>
      <w:ind w:left="426"/>
    </w:pPr>
    <w:rPr>
      <w:rFonts w:ascii="Arial" w:hAnsi="Arial" w:cs="Arial"/>
      <w:b/>
      <w:sz w:val="24"/>
      <w:szCs w:val="24"/>
    </w:rPr>
  </w:style>
  <w:style w:type="character" w:customStyle="1" w:styleId="EHRFigureChar">
    <w:name w:val="EHR Figure Char"/>
    <w:basedOn w:val="DefaultParagraphFont"/>
    <w:link w:val="EHRFigure"/>
    <w:rsid w:val="00526E2C"/>
    <w:rPr>
      <w:rFonts w:ascii="Arial" w:hAnsi="Arial" w:cs="Arial"/>
      <w:b/>
      <w:sz w:val="24"/>
      <w:szCs w:val="24"/>
    </w:rPr>
  </w:style>
  <w:style w:type="paragraph" w:customStyle="1" w:styleId="EHRQuotetext">
    <w:name w:val="EHR Quote text"/>
    <w:basedOn w:val="EHRBodytext"/>
    <w:next w:val="EHRBodytext"/>
    <w:link w:val="EHRQuotetextChar"/>
    <w:qFormat/>
    <w:rsid w:val="00526E2C"/>
    <w:pPr>
      <w:ind w:left="993" w:right="521"/>
    </w:pPr>
    <w:rPr>
      <w:i/>
    </w:rPr>
  </w:style>
  <w:style w:type="character" w:customStyle="1" w:styleId="EHRQuotetextChar">
    <w:name w:val="EHR Quote text Char"/>
    <w:basedOn w:val="EHRBodytextChar"/>
    <w:link w:val="EHRQuotetext"/>
    <w:rsid w:val="00526E2C"/>
    <w:rPr>
      <w:rFonts w:ascii="Arial" w:hAnsi="Arial" w:cs="Arial"/>
      <w:i/>
      <w:sz w:val="24"/>
      <w:szCs w:val="24"/>
    </w:rPr>
  </w:style>
  <w:style w:type="paragraph" w:styleId="TOC1">
    <w:name w:val="toc 1"/>
    <w:basedOn w:val="EHRnon-numberedBODY"/>
    <w:next w:val="Normal"/>
    <w:autoRedefine/>
    <w:uiPriority w:val="39"/>
    <w:unhideWhenUsed/>
    <w:rsid w:val="00621DAA"/>
    <w:pPr>
      <w:spacing w:after="100"/>
    </w:pPr>
    <w:rPr>
      <w:b/>
    </w:rPr>
  </w:style>
  <w:style w:type="paragraph" w:customStyle="1" w:styleId="EHRnon-numberedBODY">
    <w:name w:val="EHR non-numbered BODY"/>
    <w:link w:val="EHRnon-numberedBODYChar"/>
    <w:qFormat/>
    <w:rsid w:val="00302A19"/>
    <w:pPr>
      <w:ind w:left="595" w:hanging="595"/>
    </w:pPr>
    <w:rPr>
      <w:rFonts w:ascii="Arial" w:hAnsi="Arial" w:cs="Arial"/>
      <w:sz w:val="24"/>
      <w:szCs w:val="24"/>
    </w:rPr>
  </w:style>
  <w:style w:type="character" w:customStyle="1" w:styleId="EHRnon-numberedBODYChar">
    <w:name w:val="EHR non-numbered BODY Char"/>
    <w:basedOn w:val="EHRBodytextChar"/>
    <w:link w:val="EHRnon-numberedBODY"/>
    <w:rsid w:val="00302A19"/>
    <w:rPr>
      <w:rFonts w:ascii="Arial" w:hAnsi="Arial" w:cs="Arial"/>
      <w:sz w:val="24"/>
      <w:szCs w:val="24"/>
    </w:rPr>
  </w:style>
  <w:style w:type="paragraph" w:styleId="TOC2">
    <w:name w:val="toc 2"/>
    <w:basedOn w:val="EHRnon-numberedBODY"/>
    <w:next w:val="Normal"/>
    <w:autoRedefine/>
    <w:uiPriority w:val="39"/>
    <w:unhideWhenUsed/>
    <w:rsid w:val="00302A19"/>
    <w:pPr>
      <w:spacing w:after="100"/>
    </w:pPr>
  </w:style>
  <w:style w:type="paragraph" w:styleId="TOC3">
    <w:name w:val="toc 3"/>
    <w:basedOn w:val="EHRnon-numberedBODY"/>
    <w:next w:val="Normal"/>
    <w:autoRedefine/>
    <w:uiPriority w:val="39"/>
    <w:unhideWhenUsed/>
    <w:rsid w:val="00302A19"/>
    <w:pPr>
      <w:spacing w:after="100"/>
    </w:pPr>
  </w:style>
  <w:style w:type="paragraph" w:styleId="TOC4">
    <w:name w:val="toc 4"/>
    <w:basedOn w:val="EHRnon-numberedBODY"/>
    <w:next w:val="Normal"/>
    <w:autoRedefine/>
    <w:uiPriority w:val="39"/>
    <w:unhideWhenUsed/>
    <w:rsid w:val="00621DAA"/>
    <w:pPr>
      <w:spacing w:after="100"/>
    </w:pPr>
    <w:rPr>
      <w:i/>
    </w:rPr>
  </w:style>
  <w:style w:type="paragraph" w:styleId="TOC5">
    <w:name w:val="toc 5"/>
    <w:basedOn w:val="Normal"/>
    <w:next w:val="Normal"/>
    <w:autoRedefine/>
    <w:uiPriority w:val="39"/>
    <w:unhideWhenUsed/>
    <w:rsid w:val="00770975"/>
    <w:pPr>
      <w:spacing w:after="100"/>
      <w:ind w:left="880"/>
    </w:pPr>
  </w:style>
  <w:style w:type="character" w:styleId="Hyperlink">
    <w:name w:val="Hyperlink"/>
    <w:basedOn w:val="DefaultParagraphFont"/>
    <w:uiPriority w:val="99"/>
    <w:unhideWhenUsed/>
    <w:rsid w:val="00770975"/>
    <w:rPr>
      <w:color w:val="0563C1" w:themeColor="hyperlink"/>
      <w:u w:val="single"/>
    </w:rPr>
  </w:style>
  <w:style w:type="paragraph" w:styleId="TOC9">
    <w:name w:val="toc 9"/>
    <w:basedOn w:val="Normal"/>
    <w:next w:val="Normal"/>
    <w:autoRedefine/>
    <w:uiPriority w:val="39"/>
    <w:unhideWhenUsed/>
    <w:rsid w:val="00770975"/>
    <w:pPr>
      <w:spacing w:after="100"/>
      <w:ind w:left="1760"/>
    </w:pPr>
  </w:style>
  <w:style w:type="paragraph" w:styleId="Header">
    <w:name w:val="header"/>
    <w:basedOn w:val="Normal"/>
    <w:link w:val="HeaderChar"/>
    <w:uiPriority w:val="99"/>
    <w:unhideWhenUsed/>
    <w:rsid w:val="000F2C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2C26"/>
  </w:style>
  <w:style w:type="paragraph" w:styleId="Footer">
    <w:name w:val="footer"/>
    <w:basedOn w:val="Normal"/>
    <w:link w:val="FooterChar"/>
    <w:uiPriority w:val="99"/>
    <w:unhideWhenUsed/>
    <w:rsid w:val="000F2C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2C26"/>
  </w:style>
  <w:style w:type="paragraph" w:customStyle="1" w:styleId="EHRAlphabeticallist">
    <w:name w:val="EHR Alphabetical list"/>
    <w:basedOn w:val="EHRBodytext"/>
    <w:link w:val="EHRAlphabeticallistChar"/>
    <w:qFormat/>
    <w:rsid w:val="001C3357"/>
    <w:pPr>
      <w:numPr>
        <w:numId w:val="3"/>
      </w:numPr>
    </w:pPr>
  </w:style>
  <w:style w:type="character" w:customStyle="1" w:styleId="EHRAlphabeticallistChar">
    <w:name w:val="EHR Alphabetical list Char"/>
    <w:basedOn w:val="EHRBodytextChar"/>
    <w:link w:val="EHRAlphabeticallist"/>
    <w:rsid w:val="001C3357"/>
    <w:rPr>
      <w:rFonts w:ascii="Arial" w:hAnsi="Arial" w:cs="Arial"/>
      <w:sz w:val="24"/>
      <w:szCs w:val="24"/>
    </w:rPr>
  </w:style>
  <w:style w:type="paragraph" w:styleId="EndnoteText">
    <w:name w:val="endnote text"/>
    <w:basedOn w:val="Normal"/>
    <w:link w:val="EndnoteTextChar"/>
    <w:uiPriority w:val="99"/>
    <w:semiHidden/>
    <w:unhideWhenUsed/>
    <w:rsid w:val="00FE3C1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E3C1F"/>
    <w:rPr>
      <w:sz w:val="20"/>
      <w:szCs w:val="20"/>
    </w:rPr>
  </w:style>
  <w:style w:type="character" w:styleId="EndnoteReference">
    <w:name w:val="endnote reference"/>
    <w:basedOn w:val="DefaultParagraphFont"/>
    <w:uiPriority w:val="99"/>
    <w:semiHidden/>
    <w:unhideWhenUsed/>
    <w:rsid w:val="00FE3C1F"/>
    <w:rPr>
      <w:vertAlign w:val="superscript"/>
    </w:rPr>
  </w:style>
  <w:style w:type="character" w:styleId="CommentReference">
    <w:name w:val="annotation reference"/>
    <w:basedOn w:val="DefaultParagraphFont"/>
    <w:uiPriority w:val="99"/>
    <w:semiHidden/>
    <w:unhideWhenUsed/>
    <w:rsid w:val="00FD3CFB"/>
    <w:rPr>
      <w:sz w:val="16"/>
      <w:szCs w:val="16"/>
    </w:rPr>
  </w:style>
  <w:style w:type="paragraph" w:styleId="CommentText">
    <w:name w:val="annotation text"/>
    <w:basedOn w:val="Normal"/>
    <w:link w:val="CommentTextChar"/>
    <w:uiPriority w:val="99"/>
    <w:unhideWhenUsed/>
    <w:rsid w:val="00FD3CFB"/>
    <w:pPr>
      <w:spacing w:line="240" w:lineRule="auto"/>
    </w:pPr>
    <w:rPr>
      <w:sz w:val="20"/>
      <w:szCs w:val="20"/>
    </w:rPr>
  </w:style>
  <w:style w:type="character" w:customStyle="1" w:styleId="CommentTextChar">
    <w:name w:val="Comment Text Char"/>
    <w:basedOn w:val="DefaultParagraphFont"/>
    <w:link w:val="CommentText"/>
    <w:uiPriority w:val="99"/>
    <w:rsid w:val="00FD3CFB"/>
    <w:rPr>
      <w:sz w:val="20"/>
      <w:szCs w:val="20"/>
    </w:rPr>
  </w:style>
  <w:style w:type="paragraph" w:styleId="CommentSubject">
    <w:name w:val="annotation subject"/>
    <w:basedOn w:val="CommentText"/>
    <w:next w:val="CommentText"/>
    <w:link w:val="CommentSubjectChar"/>
    <w:uiPriority w:val="99"/>
    <w:semiHidden/>
    <w:unhideWhenUsed/>
    <w:rsid w:val="00FD3CFB"/>
    <w:rPr>
      <w:b/>
      <w:bCs/>
    </w:rPr>
  </w:style>
  <w:style w:type="character" w:customStyle="1" w:styleId="CommentSubjectChar">
    <w:name w:val="Comment Subject Char"/>
    <w:basedOn w:val="CommentTextChar"/>
    <w:link w:val="CommentSubject"/>
    <w:uiPriority w:val="99"/>
    <w:semiHidden/>
    <w:rsid w:val="00FD3CFB"/>
    <w:rPr>
      <w:b/>
      <w:bCs/>
      <w:sz w:val="20"/>
      <w:szCs w:val="20"/>
    </w:rPr>
  </w:style>
  <w:style w:type="paragraph" w:styleId="BalloonText">
    <w:name w:val="Balloon Text"/>
    <w:basedOn w:val="Normal"/>
    <w:link w:val="BalloonTextChar"/>
    <w:uiPriority w:val="99"/>
    <w:semiHidden/>
    <w:unhideWhenUsed/>
    <w:rsid w:val="00FD3C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3CFB"/>
    <w:rPr>
      <w:rFonts w:ascii="Segoe UI" w:hAnsi="Segoe UI" w:cs="Segoe UI"/>
      <w:sz w:val="18"/>
      <w:szCs w:val="18"/>
    </w:rPr>
  </w:style>
  <w:style w:type="character" w:styleId="PlaceholderText">
    <w:name w:val="Placeholder Text"/>
    <w:basedOn w:val="DefaultParagraphFont"/>
    <w:uiPriority w:val="99"/>
    <w:semiHidden/>
    <w:rsid w:val="00927A1A"/>
    <w:rPr>
      <w:color w:val="808080"/>
    </w:rPr>
  </w:style>
  <w:style w:type="paragraph" w:styleId="NormalWeb">
    <w:name w:val="Normal (Web)"/>
    <w:basedOn w:val="Normal"/>
    <w:uiPriority w:val="99"/>
    <w:semiHidden/>
    <w:unhideWhenUsed/>
    <w:rsid w:val="00381BB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DF0E6E"/>
    <w:rPr>
      <w:color w:val="954F72" w:themeColor="followedHyperlink"/>
      <w:u w:val="single"/>
    </w:rPr>
  </w:style>
  <w:style w:type="paragraph" w:styleId="TOC6">
    <w:name w:val="toc 6"/>
    <w:basedOn w:val="Normal"/>
    <w:next w:val="Normal"/>
    <w:autoRedefine/>
    <w:uiPriority w:val="39"/>
    <w:unhideWhenUsed/>
    <w:rsid w:val="002E0C74"/>
    <w:pPr>
      <w:spacing w:after="100"/>
      <w:ind w:left="1100"/>
    </w:pPr>
    <w:rPr>
      <w:rFonts w:eastAsiaTheme="minorEastAsia"/>
      <w:lang w:eastAsia="en-GB"/>
    </w:rPr>
  </w:style>
  <w:style w:type="paragraph" w:styleId="TOC7">
    <w:name w:val="toc 7"/>
    <w:basedOn w:val="Normal"/>
    <w:next w:val="Normal"/>
    <w:autoRedefine/>
    <w:uiPriority w:val="39"/>
    <w:unhideWhenUsed/>
    <w:rsid w:val="002E0C74"/>
    <w:pPr>
      <w:spacing w:after="100"/>
      <w:ind w:left="1320"/>
    </w:pPr>
    <w:rPr>
      <w:rFonts w:eastAsiaTheme="minorEastAsia"/>
      <w:lang w:eastAsia="en-GB"/>
    </w:rPr>
  </w:style>
  <w:style w:type="paragraph" w:styleId="TOC8">
    <w:name w:val="toc 8"/>
    <w:basedOn w:val="Normal"/>
    <w:next w:val="Normal"/>
    <w:autoRedefine/>
    <w:uiPriority w:val="39"/>
    <w:unhideWhenUsed/>
    <w:rsid w:val="002E0C74"/>
    <w:pPr>
      <w:spacing w:after="100"/>
      <w:ind w:left="1540"/>
    </w:pPr>
    <w:rPr>
      <w:rFonts w:eastAsiaTheme="minorEastAsia"/>
      <w:lang w:eastAsia="en-GB"/>
    </w:rPr>
  </w:style>
  <w:style w:type="table" w:styleId="TableGrid">
    <w:name w:val="Table Grid"/>
    <w:basedOn w:val="TableNormal"/>
    <w:uiPriority w:val="59"/>
    <w:rsid w:val="003A45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F008D"/>
    <w:rPr>
      <w:color w:val="605E5C"/>
      <w:shd w:val="clear" w:color="auto" w:fill="E1DFDD"/>
    </w:rPr>
  </w:style>
  <w:style w:type="paragraph" w:styleId="Revision">
    <w:name w:val="Revision"/>
    <w:hidden/>
    <w:uiPriority w:val="99"/>
    <w:semiHidden/>
    <w:rsid w:val="009C4A2A"/>
    <w:pPr>
      <w:spacing w:after="0" w:line="240" w:lineRule="auto"/>
    </w:pPr>
  </w:style>
  <w:style w:type="paragraph" w:customStyle="1" w:styleId="paragraph">
    <w:name w:val="paragraph"/>
    <w:basedOn w:val="Normal"/>
    <w:rsid w:val="004A5EA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A5EA0"/>
  </w:style>
  <w:style w:type="character" w:customStyle="1" w:styleId="eop">
    <w:name w:val="eop"/>
    <w:basedOn w:val="DefaultParagraphFont"/>
    <w:rsid w:val="004A5EA0"/>
  </w:style>
  <w:style w:type="character" w:customStyle="1" w:styleId="tabchar">
    <w:name w:val="tabchar"/>
    <w:basedOn w:val="DefaultParagraphFont"/>
    <w:rsid w:val="004A5EA0"/>
  </w:style>
  <w:style w:type="character" w:customStyle="1" w:styleId="Heading7Char">
    <w:name w:val="Heading 7 Char"/>
    <w:basedOn w:val="DefaultParagraphFont"/>
    <w:link w:val="Heading7"/>
    <w:uiPriority w:val="9"/>
    <w:semiHidden/>
    <w:rsid w:val="00575D01"/>
    <w:rPr>
      <w:rFonts w:asciiTheme="majorHAnsi" w:eastAsiaTheme="majorEastAsia" w:hAnsiTheme="majorHAnsi" w:cstheme="majorBidi"/>
      <w:i/>
      <w:iCs/>
      <w:noProof/>
      <w:color w:val="1F4D78" w:themeColor="accent1" w:themeShade="7F"/>
      <w:kern w:val="22"/>
      <w:sz w:val="24"/>
      <w:szCs w:val="28"/>
    </w:rPr>
  </w:style>
  <w:style w:type="character" w:customStyle="1" w:styleId="Heading8Char">
    <w:name w:val="Heading 8 Char"/>
    <w:basedOn w:val="DefaultParagraphFont"/>
    <w:link w:val="Heading8"/>
    <w:uiPriority w:val="9"/>
    <w:semiHidden/>
    <w:rsid w:val="00575D01"/>
    <w:rPr>
      <w:rFonts w:ascii="Arial" w:hAnsi="Arial"/>
      <w:b/>
      <w:noProof/>
      <w:color w:val="000000"/>
      <w:sz w:val="24"/>
      <w:szCs w:val="20"/>
      <w:lang w:val="en-US"/>
    </w:rPr>
  </w:style>
  <w:style w:type="character" w:customStyle="1" w:styleId="Heading9Char">
    <w:name w:val="Heading 9 Char"/>
    <w:basedOn w:val="DefaultParagraphFont"/>
    <w:link w:val="Heading9"/>
    <w:uiPriority w:val="9"/>
    <w:semiHidden/>
    <w:rsid w:val="00575D01"/>
    <w:rPr>
      <w:rFonts w:asciiTheme="majorHAnsi" w:eastAsiaTheme="majorEastAsia" w:hAnsiTheme="majorHAnsi" w:cstheme="majorBidi"/>
      <w:i/>
      <w:iCs/>
      <w:noProof/>
      <w:color w:val="272727" w:themeColor="text1" w:themeTint="D8"/>
      <w:kern w:val="22"/>
      <w:sz w:val="21"/>
      <w:szCs w:val="21"/>
    </w:rPr>
  </w:style>
  <w:style w:type="paragraph" w:customStyle="1" w:styleId="PHCSH2">
    <w:name w:val="PHCS H2#"/>
    <w:basedOn w:val="PHCSH1"/>
    <w:next w:val="PHCSBOD"/>
    <w:qFormat/>
    <w:rsid w:val="00575D01"/>
    <w:pPr>
      <w:numPr>
        <w:ilvl w:val="1"/>
      </w:numPr>
      <w:spacing w:after="200"/>
      <w:outlineLvl w:val="1"/>
    </w:pPr>
    <w:rPr>
      <w:sz w:val="36"/>
    </w:rPr>
  </w:style>
  <w:style w:type="paragraph" w:customStyle="1" w:styleId="PHCSH1">
    <w:name w:val="PHCS H1#"/>
    <w:basedOn w:val="Normal"/>
    <w:next w:val="PHCSH2"/>
    <w:qFormat/>
    <w:rsid w:val="00575D01"/>
    <w:pPr>
      <w:numPr>
        <w:numId w:val="4"/>
      </w:numPr>
      <w:spacing w:before="240" w:after="240" w:line="240" w:lineRule="auto"/>
      <w:outlineLvl w:val="0"/>
    </w:pPr>
    <w:rPr>
      <w:rFonts w:ascii="Arial" w:hAnsi="Arial"/>
      <w:b/>
      <w:bCs/>
      <w:noProof/>
      <w:kern w:val="22"/>
      <w:sz w:val="48"/>
      <w:szCs w:val="52"/>
    </w:rPr>
  </w:style>
  <w:style w:type="paragraph" w:customStyle="1" w:styleId="PHCSBOD">
    <w:name w:val="PHCS BOD#"/>
    <w:basedOn w:val="Normal"/>
    <w:qFormat/>
    <w:rsid w:val="00575D01"/>
    <w:pPr>
      <w:numPr>
        <w:ilvl w:val="3"/>
        <w:numId w:val="4"/>
      </w:numPr>
      <w:spacing w:after="120" w:line="240" w:lineRule="auto"/>
      <w:ind w:left="1276"/>
    </w:pPr>
    <w:rPr>
      <w:rFonts w:ascii="Arial" w:hAnsi="Arial"/>
      <w:noProof/>
      <w:kern w:val="22"/>
      <w:sz w:val="24"/>
      <w:szCs w:val="28"/>
    </w:rPr>
  </w:style>
  <w:style w:type="paragraph" w:customStyle="1" w:styleId="PHCSH3">
    <w:name w:val="PHCS H3#"/>
    <w:basedOn w:val="PHCSH2"/>
    <w:qFormat/>
    <w:rsid w:val="00575D01"/>
    <w:pPr>
      <w:numPr>
        <w:ilvl w:val="2"/>
      </w:numPr>
      <w:spacing w:after="160"/>
      <w:outlineLvl w:val="2"/>
    </w:pPr>
    <w:rPr>
      <w:sz w:val="28"/>
      <w:szCs w:val="44"/>
    </w:rPr>
  </w:style>
  <w:style w:type="table" w:customStyle="1" w:styleId="TableGrid1">
    <w:name w:val="Table Grid1"/>
    <w:basedOn w:val="TableNormal"/>
    <w:next w:val="TableGrid"/>
    <w:uiPriority w:val="59"/>
    <w:rsid w:val="002E375E"/>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63118">
      <w:bodyDiv w:val="1"/>
      <w:marLeft w:val="0"/>
      <w:marRight w:val="0"/>
      <w:marTop w:val="0"/>
      <w:marBottom w:val="0"/>
      <w:divBdr>
        <w:top w:val="none" w:sz="0" w:space="0" w:color="auto"/>
        <w:left w:val="none" w:sz="0" w:space="0" w:color="auto"/>
        <w:bottom w:val="none" w:sz="0" w:space="0" w:color="auto"/>
        <w:right w:val="none" w:sz="0" w:space="0" w:color="auto"/>
      </w:divBdr>
      <w:divsChild>
        <w:div w:id="1211116043">
          <w:marLeft w:val="0"/>
          <w:marRight w:val="0"/>
          <w:marTop w:val="0"/>
          <w:marBottom w:val="0"/>
          <w:divBdr>
            <w:top w:val="none" w:sz="0" w:space="0" w:color="auto"/>
            <w:left w:val="none" w:sz="0" w:space="0" w:color="auto"/>
            <w:bottom w:val="none" w:sz="0" w:space="0" w:color="auto"/>
            <w:right w:val="none" w:sz="0" w:space="0" w:color="auto"/>
          </w:divBdr>
          <w:divsChild>
            <w:div w:id="414203677">
              <w:marLeft w:val="0"/>
              <w:marRight w:val="0"/>
              <w:marTop w:val="0"/>
              <w:marBottom w:val="0"/>
              <w:divBdr>
                <w:top w:val="single" w:sz="2" w:space="0" w:color="FFFFFF"/>
                <w:left w:val="single" w:sz="6" w:space="0" w:color="FFFFFF"/>
                <w:bottom w:val="single" w:sz="6" w:space="0" w:color="FFFFFF"/>
                <w:right w:val="single" w:sz="6" w:space="0" w:color="FFFFFF"/>
              </w:divBdr>
              <w:divsChild>
                <w:div w:id="1929578257">
                  <w:marLeft w:val="0"/>
                  <w:marRight w:val="0"/>
                  <w:marTop w:val="0"/>
                  <w:marBottom w:val="0"/>
                  <w:divBdr>
                    <w:top w:val="single" w:sz="6" w:space="1" w:color="D3D3D3"/>
                    <w:left w:val="none" w:sz="0" w:space="0" w:color="auto"/>
                    <w:bottom w:val="none" w:sz="0" w:space="0" w:color="auto"/>
                    <w:right w:val="none" w:sz="0" w:space="0" w:color="auto"/>
                  </w:divBdr>
                  <w:divsChild>
                    <w:div w:id="838695364">
                      <w:marLeft w:val="0"/>
                      <w:marRight w:val="0"/>
                      <w:marTop w:val="0"/>
                      <w:marBottom w:val="0"/>
                      <w:divBdr>
                        <w:top w:val="none" w:sz="0" w:space="0" w:color="auto"/>
                        <w:left w:val="none" w:sz="0" w:space="0" w:color="auto"/>
                        <w:bottom w:val="none" w:sz="0" w:space="0" w:color="auto"/>
                        <w:right w:val="none" w:sz="0" w:space="0" w:color="auto"/>
                      </w:divBdr>
                      <w:divsChild>
                        <w:div w:id="38210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7012519">
      <w:bodyDiv w:val="1"/>
      <w:marLeft w:val="0"/>
      <w:marRight w:val="0"/>
      <w:marTop w:val="0"/>
      <w:marBottom w:val="0"/>
      <w:divBdr>
        <w:top w:val="none" w:sz="0" w:space="0" w:color="auto"/>
        <w:left w:val="none" w:sz="0" w:space="0" w:color="auto"/>
        <w:bottom w:val="none" w:sz="0" w:space="0" w:color="auto"/>
        <w:right w:val="none" w:sz="0" w:space="0" w:color="auto"/>
      </w:divBdr>
    </w:div>
    <w:div w:id="343292340">
      <w:bodyDiv w:val="1"/>
      <w:marLeft w:val="0"/>
      <w:marRight w:val="0"/>
      <w:marTop w:val="0"/>
      <w:marBottom w:val="0"/>
      <w:divBdr>
        <w:top w:val="none" w:sz="0" w:space="0" w:color="auto"/>
        <w:left w:val="none" w:sz="0" w:space="0" w:color="auto"/>
        <w:bottom w:val="none" w:sz="0" w:space="0" w:color="auto"/>
        <w:right w:val="none" w:sz="0" w:space="0" w:color="auto"/>
      </w:divBdr>
      <w:divsChild>
        <w:div w:id="710421067">
          <w:marLeft w:val="0"/>
          <w:marRight w:val="0"/>
          <w:marTop w:val="0"/>
          <w:marBottom w:val="0"/>
          <w:divBdr>
            <w:top w:val="none" w:sz="0" w:space="0" w:color="auto"/>
            <w:left w:val="none" w:sz="0" w:space="0" w:color="auto"/>
            <w:bottom w:val="none" w:sz="0" w:space="0" w:color="auto"/>
            <w:right w:val="none" w:sz="0" w:space="0" w:color="auto"/>
          </w:divBdr>
          <w:divsChild>
            <w:div w:id="197879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403828">
      <w:bodyDiv w:val="1"/>
      <w:marLeft w:val="0"/>
      <w:marRight w:val="0"/>
      <w:marTop w:val="0"/>
      <w:marBottom w:val="0"/>
      <w:divBdr>
        <w:top w:val="none" w:sz="0" w:space="0" w:color="auto"/>
        <w:left w:val="none" w:sz="0" w:space="0" w:color="auto"/>
        <w:bottom w:val="none" w:sz="0" w:space="0" w:color="auto"/>
        <w:right w:val="none" w:sz="0" w:space="0" w:color="auto"/>
      </w:divBdr>
    </w:div>
    <w:div w:id="1281760093">
      <w:bodyDiv w:val="1"/>
      <w:marLeft w:val="0"/>
      <w:marRight w:val="0"/>
      <w:marTop w:val="0"/>
      <w:marBottom w:val="0"/>
      <w:divBdr>
        <w:top w:val="none" w:sz="0" w:space="0" w:color="auto"/>
        <w:left w:val="none" w:sz="0" w:space="0" w:color="auto"/>
        <w:bottom w:val="none" w:sz="0" w:space="0" w:color="auto"/>
        <w:right w:val="none" w:sz="0" w:space="0" w:color="auto"/>
      </w:divBdr>
    </w:div>
    <w:div w:id="1338342615">
      <w:bodyDiv w:val="1"/>
      <w:marLeft w:val="0"/>
      <w:marRight w:val="0"/>
      <w:marTop w:val="0"/>
      <w:marBottom w:val="0"/>
      <w:divBdr>
        <w:top w:val="none" w:sz="0" w:space="0" w:color="auto"/>
        <w:left w:val="none" w:sz="0" w:space="0" w:color="auto"/>
        <w:bottom w:val="none" w:sz="0" w:space="0" w:color="auto"/>
        <w:right w:val="none" w:sz="0" w:space="0" w:color="auto"/>
      </w:divBdr>
    </w:div>
    <w:div w:id="1529640246">
      <w:bodyDiv w:val="1"/>
      <w:marLeft w:val="0"/>
      <w:marRight w:val="0"/>
      <w:marTop w:val="0"/>
      <w:marBottom w:val="0"/>
      <w:divBdr>
        <w:top w:val="none" w:sz="0" w:space="0" w:color="auto"/>
        <w:left w:val="none" w:sz="0" w:space="0" w:color="auto"/>
        <w:bottom w:val="none" w:sz="0" w:space="0" w:color="auto"/>
        <w:right w:val="none" w:sz="0" w:space="0" w:color="auto"/>
      </w:divBdr>
    </w:div>
    <w:div w:id="2046130429">
      <w:bodyDiv w:val="1"/>
      <w:marLeft w:val="0"/>
      <w:marRight w:val="0"/>
      <w:marTop w:val="0"/>
      <w:marBottom w:val="0"/>
      <w:divBdr>
        <w:top w:val="none" w:sz="0" w:space="0" w:color="auto"/>
        <w:left w:val="none" w:sz="0" w:space="0" w:color="auto"/>
        <w:bottom w:val="none" w:sz="0" w:space="0" w:color="auto"/>
        <w:right w:val="none" w:sz="0" w:space="0" w:color="auto"/>
      </w:divBdr>
      <w:divsChild>
        <w:div w:id="941180492">
          <w:marLeft w:val="0"/>
          <w:marRight w:val="0"/>
          <w:marTop w:val="0"/>
          <w:marBottom w:val="0"/>
          <w:divBdr>
            <w:top w:val="none" w:sz="0" w:space="0" w:color="auto"/>
            <w:left w:val="none" w:sz="0" w:space="0" w:color="auto"/>
            <w:bottom w:val="none" w:sz="0" w:space="0" w:color="auto"/>
            <w:right w:val="none" w:sz="0" w:space="0" w:color="auto"/>
          </w:divBdr>
          <w:divsChild>
            <w:div w:id="193470524">
              <w:marLeft w:val="0"/>
              <w:marRight w:val="0"/>
              <w:marTop w:val="0"/>
              <w:marBottom w:val="0"/>
              <w:divBdr>
                <w:top w:val="single" w:sz="2" w:space="0" w:color="FFFFFF"/>
                <w:left w:val="single" w:sz="6" w:space="0" w:color="FFFFFF"/>
                <w:bottom w:val="single" w:sz="6" w:space="0" w:color="FFFFFF"/>
                <w:right w:val="single" w:sz="6" w:space="0" w:color="FFFFFF"/>
              </w:divBdr>
              <w:divsChild>
                <w:div w:id="1123693689">
                  <w:marLeft w:val="0"/>
                  <w:marRight w:val="0"/>
                  <w:marTop w:val="0"/>
                  <w:marBottom w:val="0"/>
                  <w:divBdr>
                    <w:top w:val="single" w:sz="6" w:space="1" w:color="D3D3D3"/>
                    <w:left w:val="none" w:sz="0" w:space="0" w:color="auto"/>
                    <w:bottom w:val="none" w:sz="0" w:space="0" w:color="auto"/>
                    <w:right w:val="none" w:sz="0" w:space="0" w:color="auto"/>
                  </w:divBdr>
                  <w:divsChild>
                    <w:div w:id="318191091">
                      <w:marLeft w:val="0"/>
                      <w:marRight w:val="0"/>
                      <w:marTop w:val="0"/>
                      <w:marBottom w:val="0"/>
                      <w:divBdr>
                        <w:top w:val="none" w:sz="0" w:space="0" w:color="auto"/>
                        <w:left w:val="none" w:sz="0" w:space="0" w:color="auto"/>
                        <w:bottom w:val="none" w:sz="0" w:space="0" w:color="auto"/>
                        <w:right w:val="none" w:sz="0" w:space="0" w:color="auto"/>
                      </w:divBdr>
                      <w:divsChild>
                        <w:div w:id="180407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egislation.gov.uk/id/uksi/2015/1693"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v.uk/government/publications/smoke-and-carbon-monoxide-alarms-explanatory-booklet-for-landlo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8B71046D732F4B85B3BF608A0810A8" ma:contentTypeVersion="3" ma:contentTypeDescription="Create a new document." ma:contentTypeScope="" ma:versionID="2d0b4e7729c4b192dbbe98f5e522e246">
  <xsd:schema xmlns:xsd="http://www.w3.org/2001/XMLSchema" xmlns:xs="http://www.w3.org/2001/XMLSchema" xmlns:p="http://schemas.microsoft.com/office/2006/metadata/properties" xmlns:ns2="75c77ab8-349c-4d05-aee5-2b58cd82e18f" targetNamespace="http://schemas.microsoft.com/office/2006/metadata/properties" ma:root="true" ma:fieldsID="fe80b4fa6a124adf8deb1f3338838ac4" ns2:_="">
    <xsd:import namespace="75c77ab8-349c-4d05-aee5-2b58cd82e1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c77ab8-349c-4d05-aee5-2b58cd82e1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82C3EC-5471-49E1-BE1B-F2AC96EDAE48}">
  <ds:schemaRefs>
    <ds:schemaRef ds:uri="http://schemas.microsoft.com/sharepoint/v3/contenttype/forms"/>
  </ds:schemaRefs>
</ds:datastoreItem>
</file>

<file path=customXml/itemProps2.xml><?xml version="1.0" encoding="utf-8"?>
<ds:datastoreItem xmlns:ds="http://schemas.openxmlformats.org/officeDocument/2006/customXml" ds:itemID="{64B4C614-04DF-4526-84A7-2C869B11DE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c77ab8-349c-4d05-aee5-2b58cd82e1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1669AF-A32D-4ACE-A91C-F68D855EABE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C6898BD-D259-41C0-9FA4-DCF38A84B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26</Pages>
  <Words>7890</Words>
  <Characters>41113</Characters>
  <Application>Microsoft Office Word</Application>
  <DocSecurity>0</DocSecurity>
  <Lines>1111</Lines>
  <Paragraphs>662</Paragraphs>
  <ScaleCrop>false</ScaleCrop>
  <HeadingPairs>
    <vt:vector size="2" baseType="variant">
      <vt:variant>
        <vt:lpstr>Title</vt:lpstr>
      </vt:variant>
      <vt:variant>
        <vt:i4>1</vt:i4>
      </vt:variant>
    </vt:vector>
  </HeadingPairs>
  <TitlesOfParts>
    <vt:vector size="1" baseType="lpstr">
      <vt:lpstr>EH Doc template</vt:lpstr>
    </vt:vector>
  </TitlesOfParts>
  <Company>Exeter City Council</Company>
  <LinksUpToDate>false</LinksUpToDate>
  <CharactersWithSpaces>48341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EH Doc template</dc:title>
  <dc:subject/>
  <dc:creator>Philip Gilbert</dc:creator>
  <cp:keywords/>
  <dc:description>Document teplate with defined styles and number list; auto contents and page numbering.</dc:description>
  <cp:lastModifiedBy>Christine Freeman</cp:lastModifiedBy>
  <cp:revision>3</cp:revision>
  <cp:lastPrinted>2023-06-14T14:43:00Z</cp:lastPrinted>
  <dcterms:created xsi:type="dcterms:W3CDTF">2026-08-13T08:14:00Z</dcterms:created>
  <dcterms:modified xsi:type="dcterms:W3CDTF">2026-08-13T11:36:00Z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0x010100018B71046D732F4B85B3BF608A0810A8</vt:lpwstr>
  </property>
</Properties>
</file>